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pPr>
    </w:p>
    <w:p>
      <w:pPr>
        <w:spacing w:line="400" w:lineRule="exact"/>
      </w:pPr>
    </w:p>
    <w:p>
      <w:pPr>
        <w:spacing w:line="2100" w:lineRule="exact"/>
        <w:jc w:val="center"/>
        <w:rPr>
          <w:rFonts w:eastAsia="微软简标宋"/>
          <w:color w:val="FF0000"/>
          <w:spacing w:val="70"/>
          <w:w w:val="66"/>
          <w:sz w:val="136"/>
        </w:rPr>
      </w:pPr>
      <w:r>
        <w:rPr>
          <w:rFonts w:hint="eastAsia" w:eastAsia="微软简标宋"/>
          <w:color w:val="FF0000"/>
          <w:spacing w:val="70"/>
          <w:w w:val="66"/>
          <w:sz w:val="136"/>
        </w:rPr>
        <w:t>漯河市教育局文件</w:t>
      </w:r>
    </w:p>
    <w:p>
      <w:pPr>
        <w:spacing w:line="700" w:lineRule="exact"/>
        <w:jc w:val="center"/>
      </w:pPr>
    </w:p>
    <w:p>
      <w:pPr>
        <w:spacing w:line="760" w:lineRule="exact"/>
        <w:jc w:val="center"/>
        <w:rPr>
          <w:rFonts w:eastAsia="仿宋_GB2312"/>
          <w:sz w:val="32"/>
          <w:szCs w:val="32"/>
        </w:rPr>
      </w:pPr>
      <w:r>
        <w:rPr>
          <w:rFonts w:hint="eastAsia" w:eastAsia="仿宋_GB2312"/>
          <w:sz w:val="32"/>
          <w:szCs w:val="32"/>
        </w:rPr>
        <w:t>漯教〔</w:t>
      </w:r>
      <w:r>
        <w:rPr>
          <w:rFonts w:eastAsia="仿宋_GB2312"/>
          <w:sz w:val="32"/>
          <w:szCs w:val="32"/>
        </w:rPr>
        <w:t>2021</w:t>
      </w:r>
      <w:r>
        <w:rPr>
          <w:rFonts w:hint="eastAsia" w:eastAsia="仿宋_GB2312"/>
          <w:sz w:val="32"/>
          <w:szCs w:val="32"/>
        </w:rPr>
        <w:t>〕</w:t>
      </w:r>
      <w:r>
        <w:rPr>
          <w:rFonts w:eastAsia="仿宋_GB2312"/>
          <w:sz w:val="32"/>
          <w:szCs w:val="32"/>
        </w:rPr>
        <w:t>38</w:t>
      </w:r>
      <w:r>
        <w:rPr>
          <w:rFonts w:hint="eastAsia" w:eastAsia="仿宋_GB2312"/>
          <w:sz w:val="32"/>
          <w:szCs w:val="32"/>
        </w:rPr>
        <w:t>号</w:t>
      </w:r>
    </w:p>
    <w:p>
      <w:pPr>
        <w:pStyle w:val="4"/>
        <w:spacing w:line="500" w:lineRule="exact"/>
        <w:rPr>
          <w:rFonts w:ascii="Times New Roman" w:hAnsi="Times New Roman"/>
        </w:rPr>
      </w:pPr>
      <w: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104140</wp:posOffset>
                </wp:positionV>
                <wp:extent cx="5709285" cy="0"/>
                <wp:effectExtent l="0" t="0" r="0" b="0"/>
                <wp:wrapNone/>
                <wp:docPr id="3" name="直线 2"/>
                <wp:cNvGraphicFramePr/>
                <a:graphic xmlns:a="http://schemas.openxmlformats.org/drawingml/2006/main">
                  <a:graphicData uri="http://schemas.microsoft.com/office/word/2010/wordprocessingShape">
                    <wps:wsp>
                      <wps:cNvSpPr/>
                      <wps:spPr>
                        <a:xfrm>
                          <a:off x="0" y="0"/>
                          <a:ext cx="5709285" cy="0"/>
                        </a:xfrm>
                        <a:prstGeom prst="line">
                          <a:avLst/>
                        </a:prstGeom>
                        <a:ln w="15875" cap="flat" cmpd="sng">
                          <a:solidFill>
                            <a:srgbClr val="FF0000"/>
                          </a:solidFill>
                          <a:prstDash val="solid"/>
                          <a:headEnd type="none" w="med" len="med"/>
                          <a:tailEnd type="none" w="med" len="med"/>
                        </a:ln>
                      </wps:spPr>
                      <wps:bodyPr upright="1"/>
                    </wps:wsp>
                  </a:graphicData>
                </a:graphic>
              </wp:anchor>
            </w:drawing>
          </mc:Choice>
          <mc:Fallback>
            <w:pict>
              <v:line id="直线 2" o:spid="_x0000_s1026" o:spt="20" style="position:absolute;left:0pt;margin-left:0pt;margin-top:8.2pt;height:0pt;width:449.55pt;z-index:251661312;mso-width-relative:page;mso-height-relative:page;" filled="f" stroked="t" coordsize="21600,21600" o:gfxdata="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JnWpnNQA&#10;AAAGAQAADwAAAAAAAAABACAAAAAiAAAAZHJzL2Rvd25yZXYueG1sUEsBAhQAFAAAAAgAh07iQMiy&#10;BSvqAQAA3AMAAA4AAAAAAAAAAQAgAAAAIwEAAGRycy9lMm9Eb2MueG1sUEsFBgAAAAAGAAYAWQEA&#10;AH8FAAAAAA==&#10;">
                <v:fill on="f" focussize="0,0"/>
                <v:stroke weight="1.25pt" color="#FF0000" joinstyle="round"/>
                <v:imagedata o:title=""/>
                <o:lock v:ext="edit" aspectratio="f"/>
              </v:line>
            </w:pict>
          </mc:Fallback>
        </mc:AlternateContent>
      </w:r>
    </w:p>
    <w:p>
      <w:pPr>
        <w:spacing w:line="440" w:lineRule="exact"/>
        <w:jc w:val="center"/>
        <w:rPr>
          <w:rFonts w:eastAsia="仿宋_GB2312"/>
          <w:sz w:val="32"/>
          <w:szCs w:val="32"/>
        </w:rPr>
      </w:pPr>
    </w:p>
    <w:p>
      <w:pPr>
        <w:spacing w:line="440" w:lineRule="exact"/>
        <w:jc w:val="center"/>
        <w:rPr>
          <w:rFonts w:eastAsia="仿宋_GB2312"/>
          <w:sz w:val="32"/>
          <w:szCs w:val="32"/>
        </w:rPr>
      </w:pPr>
    </w:p>
    <w:p>
      <w:pPr>
        <w:tabs>
          <w:tab w:val="center" w:pos="4507"/>
          <w:tab w:val="left" w:pos="6855"/>
        </w:tabs>
        <w:spacing w:line="760" w:lineRule="exact"/>
        <w:jc w:val="center"/>
        <w:rPr>
          <w:rFonts w:eastAsia="方正小标宋简体"/>
          <w:spacing w:val="60"/>
          <w:sz w:val="44"/>
          <w:szCs w:val="44"/>
        </w:rPr>
      </w:pPr>
      <w:bookmarkStart w:id="2" w:name="_GoBack"/>
      <w:r>
        <w:rPr>
          <w:rFonts w:hint="eastAsia" w:hAnsi="方正小标宋简体" w:eastAsia="方正小标宋简体"/>
          <w:spacing w:val="60"/>
          <w:sz w:val="44"/>
          <w:szCs w:val="44"/>
        </w:rPr>
        <w:t>漯河市教育局</w:t>
      </w:r>
    </w:p>
    <w:p>
      <w:pPr>
        <w:spacing w:line="760" w:lineRule="exact"/>
        <w:jc w:val="center"/>
        <w:rPr>
          <w:rFonts w:eastAsia="方正小标宋简体"/>
          <w:sz w:val="44"/>
          <w:szCs w:val="44"/>
        </w:rPr>
      </w:pPr>
      <w:r>
        <w:rPr>
          <w:rFonts w:hint="eastAsia" w:hAnsi="方正小标宋简体" w:eastAsia="方正小标宋简体"/>
          <w:sz w:val="44"/>
          <w:szCs w:val="44"/>
        </w:rPr>
        <w:t>关于做好</w:t>
      </w:r>
      <w:r>
        <w:rPr>
          <w:rFonts w:eastAsia="方正小标宋简体"/>
          <w:sz w:val="44"/>
          <w:szCs w:val="44"/>
        </w:rPr>
        <w:t>2021</w:t>
      </w:r>
      <w:r>
        <w:rPr>
          <w:rFonts w:hint="eastAsia" w:hAnsi="方正小标宋简体" w:eastAsia="方正小标宋简体"/>
          <w:sz w:val="44"/>
          <w:szCs w:val="44"/>
        </w:rPr>
        <w:t>年高中阶段学校招生工作的</w:t>
      </w:r>
    </w:p>
    <w:p>
      <w:pPr>
        <w:spacing w:line="760" w:lineRule="exact"/>
        <w:jc w:val="center"/>
        <w:rPr>
          <w:rFonts w:eastAsia="方正小标宋简体"/>
          <w:spacing w:val="20"/>
          <w:sz w:val="44"/>
          <w:szCs w:val="44"/>
        </w:rPr>
      </w:pPr>
      <w:r>
        <w:rPr>
          <w:rFonts w:hint="eastAsia" w:hAnsi="方正小标宋简体" w:eastAsia="方正小标宋简体"/>
          <w:spacing w:val="20"/>
          <w:sz w:val="44"/>
          <w:szCs w:val="44"/>
        </w:rPr>
        <w:t>意</w:t>
      </w:r>
      <w:r>
        <w:rPr>
          <w:rFonts w:eastAsia="方正小标宋简体"/>
          <w:spacing w:val="20"/>
          <w:sz w:val="44"/>
          <w:szCs w:val="44"/>
        </w:rPr>
        <w:t xml:space="preserve">    </w:t>
      </w:r>
      <w:r>
        <w:rPr>
          <w:rFonts w:hint="eastAsia" w:hAnsi="方正小标宋简体" w:eastAsia="方正小标宋简体"/>
          <w:spacing w:val="20"/>
          <w:sz w:val="44"/>
          <w:szCs w:val="44"/>
        </w:rPr>
        <w:t>见</w:t>
      </w:r>
    </w:p>
    <w:p>
      <w:pPr>
        <w:spacing w:line="570" w:lineRule="exact"/>
        <w:rPr>
          <w:rFonts w:eastAsia="仿宋_GB2312"/>
          <w:spacing w:val="20"/>
          <w:sz w:val="44"/>
          <w:szCs w:val="44"/>
        </w:rPr>
      </w:pPr>
    </w:p>
    <w:p>
      <w:pPr>
        <w:spacing w:line="620" w:lineRule="exact"/>
        <w:rPr>
          <w:rFonts w:eastAsia="仿宋_GB2312"/>
          <w:sz w:val="32"/>
          <w:szCs w:val="32"/>
        </w:rPr>
      </w:pPr>
      <w:bookmarkStart w:id="0" w:name="OLE_LINK3"/>
      <w:bookmarkStart w:id="1" w:name="OLE_LINK2"/>
      <w:r>
        <w:rPr>
          <w:rFonts w:hint="eastAsia" w:eastAsia="仿宋_GB2312"/>
          <w:sz w:val="32"/>
          <w:szCs w:val="32"/>
        </w:rPr>
        <w:t>各县区教育局，市教育局直属分局，市属各中学：</w:t>
      </w:r>
    </w:p>
    <w:bookmarkEnd w:id="0"/>
    <w:bookmarkEnd w:id="1"/>
    <w:p>
      <w:pPr>
        <w:pStyle w:val="4"/>
        <w:spacing w:line="620" w:lineRule="exact"/>
        <w:rPr>
          <w:rFonts w:ascii="Times New Roman" w:hAnsi="Times New Roman" w:eastAsia="仿宋_GB2312"/>
          <w:b/>
          <w:sz w:val="32"/>
          <w:szCs w:val="32"/>
        </w:rPr>
      </w:pPr>
      <w:r>
        <w:rPr>
          <w:rFonts w:ascii="Times New Roman" w:hAnsi="Times New Roman" w:eastAsia="仿宋_GB2312"/>
          <w:sz w:val="32"/>
          <w:szCs w:val="32"/>
        </w:rPr>
        <w:t xml:space="preserve">    </w:t>
      </w:r>
      <w:r>
        <w:rPr>
          <w:rFonts w:hint="eastAsia" w:ascii="Times New Roman" w:hAnsi="Times New Roman" w:eastAsia="仿宋_GB2312"/>
          <w:sz w:val="32"/>
          <w:szCs w:val="32"/>
        </w:rPr>
        <w:t>根据《河南省教育厅</w:t>
      </w:r>
      <w:r>
        <w:rPr>
          <w:rFonts w:hint="eastAsia" w:ascii="Times New Roman" w:hAnsi="Times New Roman" w:eastAsia="仿宋_GB2312"/>
          <w:kern w:val="0"/>
          <w:sz w:val="32"/>
          <w:szCs w:val="32"/>
        </w:rPr>
        <w:t>关于做好</w:t>
      </w:r>
      <w:r>
        <w:rPr>
          <w:rFonts w:ascii="Times New Roman" w:hAnsi="Times New Roman" w:eastAsia="仿宋_GB2312"/>
          <w:kern w:val="0"/>
          <w:sz w:val="32"/>
          <w:szCs w:val="32"/>
        </w:rPr>
        <w:t>2021</w:t>
      </w:r>
      <w:r>
        <w:rPr>
          <w:rFonts w:hint="eastAsia" w:ascii="Times New Roman" w:hAnsi="Times New Roman" w:eastAsia="仿宋_GB2312"/>
          <w:kern w:val="0"/>
          <w:sz w:val="32"/>
          <w:szCs w:val="32"/>
        </w:rPr>
        <w:t>年普通高中招生工作的通知》（教基〔</w:t>
      </w:r>
      <w:r>
        <w:rPr>
          <w:rFonts w:ascii="Times New Roman" w:hAnsi="Times New Roman" w:eastAsia="仿宋_GB2312"/>
          <w:kern w:val="0"/>
          <w:sz w:val="32"/>
          <w:szCs w:val="32"/>
        </w:rPr>
        <w:t>2021</w:t>
      </w:r>
      <w:r>
        <w:rPr>
          <w:rFonts w:hint="eastAsia" w:ascii="Times New Roman" w:hAnsi="Times New Roman" w:eastAsia="仿宋_GB2312"/>
          <w:kern w:val="0"/>
          <w:sz w:val="32"/>
          <w:szCs w:val="32"/>
        </w:rPr>
        <w:t>〕</w:t>
      </w:r>
      <w:r>
        <w:rPr>
          <w:rFonts w:ascii="Times New Roman" w:hAnsi="Times New Roman" w:eastAsia="仿宋_GB2312"/>
          <w:kern w:val="0"/>
          <w:sz w:val="32"/>
          <w:szCs w:val="32"/>
        </w:rPr>
        <w:t>157</w:t>
      </w:r>
      <w:r>
        <w:rPr>
          <w:rFonts w:hint="eastAsia" w:ascii="Times New Roman" w:hAnsi="Times New Roman" w:eastAsia="仿宋_GB2312"/>
          <w:kern w:val="0"/>
          <w:sz w:val="32"/>
          <w:szCs w:val="32"/>
        </w:rPr>
        <w:t>号）等文件精神，结合我市实际，现将我市</w:t>
      </w:r>
      <w:r>
        <w:rPr>
          <w:rFonts w:ascii="Times New Roman" w:hAnsi="Times New Roman" w:eastAsia="仿宋_GB2312"/>
          <w:kern w:val="0"/>
          <w:sz w:val="32"/>
          <w:szCs w:val="32"/>
        </w:rPr>
        <w:t>2021</w:t>
      </w:r>
      <w:r>
        <w:rPr>
          <w:rFonts w:hint="eastAsia" w:ascii="Times New Roman" w:hAnsi="Times New Roman" w:eastAsia="仿宋_GB2312"/>
          <w:kern w:val="0"/>
          <w:sz w:val="32"/>
          <w:szCs w:val="32"/>
        </w:rPr>
        <w:t>年高中阶段学校</w:t>
      </w:r>
      <w:r>
        <w:rPr>
          <w:rFonts w:hint="eastAsia" w:ascii="Times New Roman" w:hAnsi="Times New Roman" w:eastAsia="仿宋_GB2312"/>
          <w:sz w:val="32"/>
          <w:szCs w:val="32"/>
        </w:rPr>
        <w:t>（含普通高中、中等职业学校，下同）</w:t>
      </w:r>
      <w:r>
        <w:rPr>
          <w:rFonts w:hint="eastAsia" w:ascii="Times New Roman" w:hAnsi="Times New Roman" w:eastAsia="仿宋_GB2312"/>
          <w:kern w:val="0"/>
          <w:sz w:val="32"/>
          <w:szCs w:val="32"/>
        </w:rPr>
        <w:t>招生（以下简称</w:t>
      </w:r>
      <w:r>
        <w:rPr>
          <w:rFonts w:ascii="Times New Roman" w:hAnsi="Times New Roman" w:eastAsia="仿宋_GB2312"/>
          <w:kern w:val="0"/>
          <w:sz w:val="32"/>
          <w:szCs w:val="32"/>
        </w:rPr>
        <w:t>“</w:t>
      </w:r>
      <w:r>
        <w:rPr>
          <w:rFonts w:hint="eastAsia" w:ascii="Times New Roman" w:hAnsi="Times New Roman" w:eastAsia="仿宋_GB2312"/>
          <w:kern w:val="0"/>
          <w:sz w:val="32"/>
          <w:szCs w:val="32"/>
        </w:rPr>
        <w:t>中招</w:t>
      </w:r>
      <w:r>
        <w:rPr>
          <w:rFonts w:ascii="Times New Roman" w:hAnsi="Times New Roman" w:eastAsia="仿宋_GB2312"/>
          <w:kern w:val="0"/>
          <w:sz w:val="32"/>
          <w:szCs w:val="32"/>
        </w:rPr>
        <w:t>”</w:t>
      </w:r>
      <w:r>
        <w:rPr>
          <w:rFonts w:hint="eastAsia" w:ascii="Times New Roman" w:hAnsi="Times New Roman" w:eastAsia="仿宋_GB2312"/>
          <w:kern w:val="0"/>
          <w:sz w:val="32"/>
          <w:szCs w:val="32"/>
        </w:rPr>
        <w:t>）工作安排如下，请遵照执行。</w:t>
      </w:r>
    </w:p>
    <w:p>
      <w:pPr>
        <w:pStyle w:val="4"/>
        <w:spacing w:line="620" w:lineRule="exact"/>
        <w:ind w:firstLine="640" w:firstLineChars="200"/>
        <w:rPr>
          <w:rFonts w:ascii="Times New Roman" w:hAnsi="Times New Roman" w:eastAsia="黑体"/>
          <w:kern w:val="0"/>
          <w:sz w:val="32"/>
          <w:szCs w:val="32"/>
        </w:rPr>
      </w:pPr>
      <w:r>
        <w:rPr>
          <w:rFonts w:hint="eastAsia" w:ascii="Times New Roman" w:hAnsi="黑体" w:eastAsia="黑体"/>
          <w:kern w:val="0"/>
          <w:sz w:val="32"/>
          <w:szCs w:val="32"/>
        </w:rPr>
        <w:t>一、总体目标</w:t>
      </w:r>
    </w:p>
    <w:p>
      <w:pPr>
        <w:pStyle w:val="4"/>
        <w:spacing w:line="570" w:lineRule="exact"/>
        <w:ind w:firstLine="640" w:firstLineChars="200"/>
        <w:rPr>
          <w:rFonts w:ascii="Times New Roman" w:hAnsi="Times New Roman" w:eastAsia="仿宋_GB2312"/>
          <w:kern w:val="0"/>
          <w:sz w:val="32"/>
          <w:szCs w:val="32"/>
        </w:rPr>
      </w:pPr>
      <w:r>
        <w:rPr>
          <w:rFonts w:hint="eastAsia" w:ascii="Times New Roman" w:hAnsi="Times New Roman" w:eastAsia="仿宋_GB2312"/>
          <w:kern w:val="0"/>
          <w:sz w:val="32"/>
          <w:szCs w:val="32"/>
        </w:rPr>
        <w:t>统筹推进普通高中教育和中等职业教育协调发展，结合普通高中消除大班额工作进展情况，统一</w:t>
      </w:r>
      <w:r>
        <w:rPr>
          <w:rFonts w:hint="eastAsia" w:ascii="Times New Roman" w:hAnsi="Times New Roman" w:eastAsia="仿宋_GB2312"/>
          <w:sz w:val="31"/>
          <w:szCs w:val="31"/>
          <w:shd w:val="clear" w:color="auto" w:fill="FFFFFF"/>
        </w:rPr>
        <w:t>制定分县区、分学校（含民办学校）普通高中招生计划</w:t>
      </w:r>
      <w:r>
        <w:rPr>
          <w:rFonts w:hint="eastAsia" w:ascii="Times New Roman" w:hAnsi="Times New Roman" w:eastAsia="仿宋_GB2312"/>
          <w:kern w:val="0"/>
          <w:sz w:val="32"/>
          <w:szCs w:val="32"/>
        </w:rPr>
        <w:t>。坚决防止普通高中起始年级产生新的大班额，招生计划一次性下达。</w:t>
      </w:r>
    </w:p>
    <w:p>
      <w:pPr>
        <w:spacing w:line="570" w:lineRule="exact"/>
        <w:ind w:firstLine="640" w:firstLineChars="200"/>
        <w:rPr>
          <w:rFonts w:eastAsia="黑体"/>
          <w:kern w:val="0"/>
          <w:sz w:val="32"/>
          <w:szCs w:val="32"/>
        </w:rPr>
      </w:pPr>
      <w:r>
        <w:rPr>
          <w:rFonts w:hint="eastAsia" w:eastAsia="黑体"/>
          <w:sz w:val="32"/>
        </w:rPr>
        <w:t>二、</w:t>
      </w:r>
      <w:r>
        <w:rPr>
          <w:rFonts w:hint="eastAsia" w:eastAsia="黑体"/>
          <w:kern w:val="0"/>
          <w:sz w:val="32"/>
          <w:szCs w:val="32"/>
        </w:rPr>
        <w:t>考录办法</w:t>
      </w:r>
    </w:p>
    <w:p>
      <w:pPr>
        <w:adjustRightInd w:val="0"/>
        <w:snapToGrid w:val="0"/>
        <w:spacing w:line="570" w:lineRule="exact"/>
        <w:rPr>
          <w:rFonts w:eastAsia="仿宋_GB2312"/>
          <w:kern w:val="0"/>
          <w:sz w:val="32"/>
          <w:szCs w:val="32"/>
        </w:rPr>
      </w:pPr>
      <w:r>
        <w:rPr>
          <w:rFonts w:eastAsia="仿宋_GB2312"/>
          <w:sz w:val="32"/>
          <w:szCs w:val="32"/>
        </w:rPr>
        <w:t xml:space="preserve">    </w:t>
      </w:r>
      <w:r>
        <w:rPr>
          <w:rFonts w:eastAsia="仿宋_GB2312"/>
          <w:kern w:val="0"/>
          <w:sz w:val="32"/>
          <w:szCs w:val="32"/>
        </w:rPr>
        <w:t>2021</w:t>
      </w:r>
      <w:r>
        <w:rPr>
          <w:rFonts w:hint="eastAsia" w:eastAsia="仿宋_GB2312"/>
          <w:kern w:val="0"/>
          <w:sz w:val="32"/>
          <w:szCs w:val="32"/>
        </w:rPr>
        <w:t>年</w:t>
      </w:r>
      <w:r>
        <w:rPr>
          <w:rFonts w:hint="eastAsia" w:eastAsia="仿宋_GB2312"/>
          <w:sz w:val="32"/>
        </w:rPr>
        <w:t>我市初中学业水平考试（</w:t>
      </w:r>
      <w:r>
        <w:rPr>
          <w:rFonts w:hint="eastAsia" w:eastAsia="仿宋_GB2312"/>
          <w:kern w:val="0"/>
          <w:sz w:val="32"/>
          <w:szCs w:val="32"/>
        </w:rPr>
        <w:t>中招</w:t>
      </w:r>
      <w:r>
        <w:rPr>
          <w:rFonts w:hint="eastAsia" w:eastAsia="仿宋_GB2312"/>
          <w:sz w:val="32"/>
        </w:rPr>
        <w:t>考试）采取全省统一命题、统一试卷、统一考试时间、各县区（含功能区，下同）组织实施的办法。舞阳县、临颍县负责指导和组织本地的学生报名、考务、阅卷和普通高中录取。源汇区（含西城区）、郾城区（含城乡一体化示范区黑龙潭镇）、召陵区（</w:t>
      </w:r>
      <w:r>
        <w:rPr>
          <w:rFonts w:hint="eastAsia" w:eastAsia="仿宋_GB2312"/>
          <w:sz w:val="32"/>
          <w:szCs w:val="32"/>
        </w:rPr>
        <w:t>含经济技术开发区和</w:t>
      </w:r>
      <w:r>
        <w:rPr>
          <w:rFonts w:hint="eastAsia" w:eastAsia="仿宋_GB2312"/>
          <w:sz w:val="32"/>
        </w:rPr>
        <w:t>城乡一</w:t>
      </w:r>
      <w:r>
        <w:rPr>
          <w:rFonts w:hint="eastAsia" w:eastAsia="仿宋_GB2312"/>
          <w:kern w:val="0"/>
          <w:sz w:val="32"/>
          <w:szCs w:val="32"/>
        </w:rPr>
        <w:t>体化示范区姬石镇）负责指导和组织本辖区内的学生报名和考务，阅卷工作由市考试中心统一组织，普通高中录取由市教育局基础教育部门统一组织，普通中专（五年一贯制高职和</w:t>
      </w:r>
      <w:r>
        <w:rPr>
          <w:rFonts w:eastAsia="仿宋_GB2312"/>
          <w:kern w:val="0"/>
          <w:sz w:val="32"/>
          <w:szCs w:val="32"/>
        </w:rPr>
        <w:t>“3+2”</w:t>
      </w:r>
      <w:r>
        <w:rPr>
          <w:rFonts w:hint="eastAsia" w:eastAsia="仿宋_GB2312"/>
          <w:kern w:val="0"/>
          <w:sz w:val="32"/>
          <w:szCs w:val="32"/>
        </w:rPr>
        <w:t>分段制高职）录取由市考试中心统一组织。各高中根据市</w:t>
      </w:r>
      <w:r>
        <w:rPr>
          <w:rFonts w:hint="eastAsia" w:eastAsia="仿宋_GB2312"/>
          <w:sz w:val="32"/>
        </w:rPr>
        <w:t>教育局的统一安排，负责本校的招生录取工作。</w:t>
      </w:r>
    </w:p>
    <w:p>
      <w:pPr>
        <w:spacing w:line="570" w:lineRule="exact"/>
        <w:rPr>
          <w:rFonts w:eastAsia="楷体_GB2312"/>
          <w:b/>
          <w:sz w:val="32"/>
          <w:szCs w:val="32"/>
        </w:rPr>
      </w:pPr>
      <w:r>
        <w:rPr>
          <w:rFonts w:eastAsia="楷体_GB2312"/>
          <w:b/>
          <w:sz w:val="32"/>
          <w:szCs w:val="32"/>
        </w:rPr>
        <w:t xml:space="preserve">    </w:t>
      </w:r>
      <w:r>
        <w:rPr>
          <w:rFonts w:hint="eastAsia" w:eastAsia="楷体_GB2312"/>
          <w:b/>
          <w:sz w:val="32"/>
          <w:szCs w:val="32"/>
        </w:rPr>
        <w:t>（一）报名</w:t>
      </w:r>
    </w:p>
    <w:p>
      <w:pPr>
        <w:adjustRightInd w:val="0"/>
        <w:snapToGrid w:val="0"/>
        <w:spacing w:line="570" w:lineRule="exact"/>
        <w:rPr>
          <w:rFonts w:eastAsia="仿宋_GB2312"/>
          <w:kern w:val="0"/>
          <w:sz w:val="32"/>
          <w:szCs w:val="32"/>
        </w:rPr>
      </w:pPr>
      <w:r>
        <w:rPr>
          <w:rFonts w:eastAsia="仿宋_GB2312"/>
          <w:sz w:val="32"/>
          <w:szCs w:val="32"/>
        </w:rPr>
        <w:t xml:space="preserve">    </w:t>
      </w:r>
      <w:r>
        <w:rPr>
          <w:rFonts w:eastAsia="仿宋_GB2312"/>
          <w:sz w:val="32"/>
        </w:rPr>
        <w:t>2021</w:t>
      </w:r>
      <w:r>
        <w:rPr>
          <w:rFonts w:hint="eastAsia" w:eastAsia="仿宋_GB2312"/>
          <w:sz w:val="32"/>
        </w:rPr>
        <w:t>年中招考试统一实行网上报名。中招报名通过河南省高中阶段教育招生信息服务平台（</w:t>
      </w:r>
      <w:r>
        <w:rPr>
          <w:rFonts w:eastAsia="仿宋_GB2312"/>
          <w:sz w:val="32"/>
        </w:rPr>
        <w:t>http://gzgl.jyt.henan.gov.cn/zk/</w:t>
      </w:r>
      <w:r>
        <w:rPr>
          <w:rFonts w:hint="eastAsia" w:eastAsia="仿宋_GB2312"/>
          <w:sz w:val="32"/>
        </w:rPr>
        <w:t>，以下简称</w:t>
      </w:r>
      <w:r>
        <w:rPr>
          <w:rFonts w:eastAsia="仿宋_GB2312"/>
          <w:sz w:val="32"/>
        </w:rPr>
        <w:t>“</w:t>
      </w:r>
      <w:r>
        <w:rPr>
          <w:rFonts w:hint="eastAsia" w:eastAsia="仿宋_GB2312"/>
          <w:sz w:val="32"/>
        </w:rPr>
        <w:t>省中招平台</w:t>
      </w:r>
      <w:r>
        <w:rPr>
          <w:rFonts w:eastAsia="仿宋_GB2312"/>
          <w:sz w:val="32"/>
        </w:rPr>
        <w:t>”</w:t>
      </w:r>
      <w:r>
        <w:rPr>
          <w:rFonts w:hint="eastAsia" w:eastAsia="仿宋_GB2312"/>
          <w:sz w:val="32"/>
        </w:rPr>
        <w:t>）进行，由各县区考务部门负责统</w:t>
      </w:r>
      <w:r>
        <w:rPr>
          <w:rFonts w:hint="eastAsia" w:eastAsia="仿宋_GB2312"/>
          <w:kern w:val="0"/>
          <w:sz w:val="32"/>
          <w:szCs w:val="32"/>
        </w:rPr>
        <w:t>一组织实施。考生报</w:t>
      </w:r>
      <w:r>
        <w:rPr>
          <w:rFonts w:hint="eastAsia" w:eastAsia="仿宋_GB2312"/>
          <w:sz w:val="32"/>
          <w:szCs w:val="32"/>
        </w:rPr>
        <w:t>名须交纳报名考务费，交费标准执行河南省发展计划委员会、河南省财政厅、河南省教育厅联合下发的《关于调整我省中招报名考务费收费标准的通知》（豫计收费〔</w:t>
      </w:r>
      <w:r>
        <w:rPr>
          <w:rFonts w:eastAsia="仿宋_GB2312"/>
          <w:sz w:val="32"/>
          <w:szCs w:val="32"/>
        </w:rPr>
        <w:t>2003</w:t>
      </w:r>
      <w:r>
        <w:rPr>
          <w:rFonts w:hint="eastAsia" w:eastAsia="仿宋_GB2312"/>
          <w:sz w:val="32"/>
          <w:szCs w:val="32"/>
        </w:rPr>
        <w:t>〕</w:t>
      </w:r>
      <w:r>
        <w:rPr>
          <w:rFonts w:eastAsia="仿宋_GB2312"/>
          <w:sz w:val="32"/>
          <w:szCs w:val="32"/>
        </w:rPr>
        <w:t>966</w:t>
      </w:r>
      <w:r>
        <w:rPr>
          <w:rFonts w:hint="eastAsia" w:eastAsia="仿宋_GB2312"/>
          <w:sz w:val="32"/>
          <w:szCs w:val="32"/>
        </w:rPr>
        <w:t>号）的规定。</w:t>
      </w:r>
    </w:p>
    <w:p>
      <w:pPr>
        <w:spacing w:line="570" w:lineRule="exact"/>
        <w:rPr>
          <w:rFonts w:eastAsia="楷体_GB2312"/>
          <w:b/>
          <w:sz w:val="32"/>
          <w:szCs w:val="32"/>
        </w:rPr>
      </w:pPr>
      <w:r>
        <w:rPr>
          <w:rFonts w:eastAsia="楷体_GB2312"/>
          <w:b/>
          <w:sz w:val="32"/>
          <w:szCs w:val="32"/>
        </w:rPr>
        <w:t xml:space="preserve">    </w:t>
      </w:r>
      <w:r>
        <w:rPr>
          <w:rFonts w:hint="eastAsia" w:eastAsia="楷体_GB2312"/>
          <w:b/>
          <w:sz w:val="32"/>
          <w:szCs w:val="32"/>
        </w:rPr>
        <w:t>（二）</w:t>
      </w:r>
      <w:r>
        <w:rPr>
          <w:rFonts w:hint="eastAsia" w:eastAsia="楷体_GB2312"/>
          <w:b/>
          <w:kern w:val="0"/>
          <w:sz w:val="32"/>
          <w:szCs w:val="32"/>
        </w:rPr>
        <w:t>填报志愿</w:t>
      </w:r>
    </w:p>
    <w:p>
      <w:pPr>
        <w:autoSpaceDE w:val="0"/>
        <w:autoSpaceDN w:val="0"/>
        <w:adjustRightInd w:val="0"/>
        <w:spacing w:line="570" w:lineRule="exact"/>
        <w:rPr>
          <w:rFonts w:eastAsia="仿宋_GB2312"/>
          <w:sz w:val="32"/>
          <w:szCs w:val="32"/>
        </w:rPr>
      </w:pPr>
      <w:r>
        <w:rPr>
          <w:rFonts w:eastAsia="仿宋_GB2312"/>
          <w:sz w:val="32"/>
          <w:szCs w:val="32"/>
        </w:rPr>
        <w:t xml:space="preserve">   </w:t>
      </w:r>
      <w:r>
        <w:rPr>
          <w:rFonts w:eastAsia="仿宋_GB2312"/>
          <w:b/>
          <w:bCs/>
          <w:sz w:val="32"/>
          <w:szCs w:val="32"/>
        </w:rPr>
        <w:t xml:space="preserve"> 1.</w:t>
      </w:r>
      <w:r>
        <w:rPr>
          <w:rFonts w:hint="eastAsia" w:hAnsi="仿宋_GB2312" w:eastAsia="仿宋_GB2312"/>
          <w:b/>
          <w:bCs/>
          <w:sz w:val="32"/>
          <w:szCs w:val="32"/>
        </w:rPr>
        <w:t>普通高中</w:t>
      </w:r>
    </w:p>
    <w:p>
      <w:pPr>
        <w:autoSpaceDE w:val="0"/>
        <w:autoSpaceDN w:val="0"/>
        <w:adjustRightInd w:val="0"/>
        <w:spacing w:line="570" w:lineRule="exact"/>
        <w:ind w:firstLine="640" w:firstLineChars="200"/>
        <w:rPr>
          <w:rFonts w:eastAsia="仿宋_GB2312"/>
          <w:sz w:val="32"/>
          <w:szCs w:val="32"/>
        </w:rPr>
      </w:pPr>
      <w:r>
        <w:rPr>
          <w:rFonts w:hint="eastAsia" w:eastAsia="仿宋_GB2312"/>
          <w:sz w:val="32"/>
          <w:szCs w:val="32"/>
        </w:rPr>
        <w:t>考生填报志愿统一在省中招平台上进行，由考生在规定的时间内按照系统提示自主填报。我市普通高中填报志愿时间为</w:t>
      </w:r>
      <w:r>
        <w:rPr>
          <w:rFonts w:eastAsia="仿宋_GB2312"/>
          <w:sz w:val="32"/>
          <w:szCs w:val="32"/>
        </w:rPr>
        <w:t>6</w:t>
      </w:r>
      <w:r>
        <w:rPr>
          <w:rFonts w:hint="eastAsia" w:eastAsia="仿宋_GB2312"/>
          <w:sz w:val="32"/>
          <w:szCs w:val="32"/>
        </w:rPr>
        <w:t>月</w:t>
      </w:r>
      <w:r>
        <w:rPr>
          <w:rFonts w:eastAsia="仿宋_GB2312"/>
          <w:sz w:val="32"/>
          <w:szCs w:val="32"/>
        </w:rPr>
        <w:t>1</w:t>
      </w:r>
      <w:r>
        <w:rPr>
          <w:rFonts w:hint="eastAsia" w:eastAsia="仿宋_GB2312"/>
          <w:sz w:val="32"/>
          <w:szCs w:val="32"/>
        </w:rPr>
        <w:t>日</w:t>
      </w:r>
      <w:r>
        <w:rPr>
          <w:rFonts w:eastAsia="仿宋_GB2312"/>
          <w:sz w:val="32"/>
          <w:szCs w:val="32"/>
        </w:rPr>
        <w:t>—6</w:t>
      </w:r>
      <w:r>
        <w:rPr>
          <w:rFonts w:hint="eastAsia" w:eastAsia="仿宋_GB2312"/>
          <w:sz w:val="32"/>
          <w:szCs w:val="32"/>
        </w:rPr>
        <w:t>月</w:t>
      </w:r>
      <w:r>
        <w:rPr>
          <w:rFonts w:eastAsia="仿宋_GB2312"/>
          <w:sz w:val="32"/>
          <w:szCs w:val="32"/>
        </w:rPr>
        <w:t>10</w:t>
      </w:r>
      <w:r>
        <w:rPr>
          <w:rFonts w:hint="eastAsia" w:eastAsia="仿宋_GB2312"/>
          <w:sz w:val="32"/>
          <w:szCs w:val="32"/>
        </w:rPr>
        <w:t>日，具体要求等事宜另行通知。</w:t>
      </w:r>
    </w:p>
    <w:p>
      <w:pPr>
        <w:pStyle w:val="4"/>
        <w:spacing w:line="570" w:lineRule="exact"/>
        <w:ind w:firstLine="643" w:firstLineChars="200"/>
        <w:rPr>
          <w:rFonts w:ascii="Times New Roman" w:hAnsi="Times New Roman" w:eastAsia="仿宋_GB2312"/>
          <w:b/>
          <w:kern w:val="0"/>
          <w:sz w:val="32"/>
          <w:szCs w:val="32"/>
        </w:rPr>
      </w:pPr>
      <w:r>
        <w:rPr>
          <w:rFonts w:ascii="Times New Roman" w:hAnsi="Times New Roman" w:eastAsia="仿宋_GB2312"/>
          <w:b/>
          <w:kern w:val="0"/>
          <w:sz w:val="32"/>
          <w:szCs w:val="32"/>
        </w:rPr>
        <w:t>2.</w:t>
      </w:r>
      <w:r>
        <w:rPr>
          <w:rFonts w:hint="eastAsia" w:ascii="Times New Roman" w:hAnsi="Times New Roman" w:eastAsia="仿宋_GB2312"/>
          <w:b/>
          <w:kern w:val="0"/>
          <w:sz w:val="32"/>
          <w:szCs w:val="32"/>
        </w:rPr>
        <w:t>普通中专（五年一贯制高职和</w:t>
      </w:r>
      <w:r>
        <w:rPr>
          <w:rFonts w:ascii="Times New Roman" w:hAnsi="Times New Roman" w:eastAsia="仿宋_GB2312"/>
          <w:b/>
          <w:kern w:val="0"/>
          <w:sz w:val="32"/>
          <w:szCs w:val="32"/>
        </w:rPr>
        <w:t>“3+2”</w:t>
      </w:r>
      <w:r>
        <w:rPr>
          <w:rFonts w:hint="eastAsia" w:ascii="Times New Roman" w:hAnsi="Times New Roman" w:eastAsia="仿宋_GB2312"/>
          <w:b/>
          <w:kern w:val="0"/>
          <w:sz w:val="32"/>
          <w:szCs w:val="32"/>
        </w:rPr>
        <w:t>分段制高职）</w:t>
      </w:r>
    </w:p>
    <w:p>
      <w:pPr>
        <w:pStyle w:val="4"/>
        <w:spacing w:line="570" w:lineRule="exact"/>
        <w:ind w:firstLine="645"/>
        <w:rPr>
          <w:rFonts w:ascii="Times New Roman" w:hAnsi="Times New Roman" w:eastAsia="仿宋_GB2312"/>
          <w:sz w:val="32"/>
          <w:szCs w:val="32"/>
        </w:rPr>
      </w:pPr>
      <w:r>
        <w:rPr>
          <w:rFonts w:ascii="Times New Roman" w:hAnsi="Times New Roman" w:eastAsia="仿宋_GB2312"/>
          <w:sz w:val="32"/>
          <w:szCs w:val="32"/>
        </w:rPr>
        <w:t>(1)</w:t>
      </w:r>
      <w:r>
        <w:rPr>
          <w:rFonts w:hint="eastAsia" w:ascii="Times New Roman" w:hAnsi="Times New Roman" w:eastAsia="仿宋_GB2312"/>
          <w:sz w:val="32"/>
          <w:szCs w:val="32"/>
        </w:rPr>
        <w:t>五年一贯制高职（简称</w:t>
      </w:r>
      <w:r>
        <w:rPr>
          <w:rFonts w:ascii="Times New Roman" w:hAnsi="Times New Roman" w:eastAsia="仿宋_GB2312"/>
          <w:sz w:val="32"/>
          <w:szCs w:val="32"/>
        </w:rPr>
        <w:t>“</w:t>
      </w:r>
      <w:r>
        <w:rPr>
          <w:rFonts w:hint="eastAsia" w:ascii="Times New Roman" w:hAnsi="Times New Roman" w:eastAsia="仿宋_GB2312"/>
          <w:sz w:val="32"/>
          <w:szCs w:val="32"/>
        </w:rPr>
        <w:t>五年制</w:t>
      </w:r>
      <w:r>
        <w:rPr>
          <w:rFonts w:ascii="Times New Roman" w:hAnsi="Times New Roman" w:eastAsia="仿宋_GB2312"/>
          <w:sz w:val="32"/>
          <w:szCs w:val="32"/>
        </w:rPr>
        <w:t>”</w:t>
      </w:r>
      <w:r>
        <w:rPr>
          <w:rFonts w:hint="eastAsia" w:ascii="Times New Roman" w:hAnsi="Times New Roman" w:eastAsia="仿宋_GB2312"/>
          <w:sz w:val="32"/>
          <w:szCs w:val="32"/>
        </w:rPr>
        <w:t>）和</w:t>
      </w:r>
      <w:r>
        <w:rPr>
          <w:rFonts w:ascii="Times New Roman" w:hAnsi="Times New Roman" w:eastAsia="仿宋_GB2312"/>
          <w:sz w:val="32"/>
          <w:szCs w:val="32"/>
        </w:rPr>
        <w:t>“3+2”</w:t>
      </w:r>
      <w:r>
        <w:rPr>
          <w:rFonts w:hint="eastAsia" w:ascii="Times New Roman" w:hAnsi="Times New Roman" w:eastAsia="仿宋_GB2312"/>
          <w:sz w:val="32"/>
          <w:szCs w:val="32"/>
        </w:rPr>
        <w:t>分段制高职（简称</w:t>
      </w:r>
      <w:r>
        <w:rPr>
          <w:rFonts w:ascii="Times New Roman" w:hAnsi="Times New Roman" w:eastAsia="仿宋_GB2312"/>
          <w:sz w:val="32"/>
          <w:szCs w:val="32"/>
        </w:rPr>
        <w:t>“3+2”</w:t>
      </w:r>
      <w:r>
        <w:rPr>
          <w:rFonts w:hint="eastAsia" w:ascii="Times New Roman" w:hAnsi="Times New Roman" w:eastAsia="仿宋_GB2312"/>
          <w:sz w:val="32"/>
          <w:szCs w:val="32"/>
        </w:rPr>
        <w:t>）招生对象为参加</w:t>
      </w:r>
      <w:r>
        <w:rPr>
          <w:rFonts w:ascii="Times New Roman" w:hAnsi="Times New Roman" w:eastAsia="仿宋_GB2312"/>
          <w:sz w:val="32"/>
          <w:szCs w:val="32"/>
        </w:rPr>
        <w:t>2021</w:t>
      </w:r>
      <w:r>
        <w:rPr>
          <w:rFonts w:hint="eastAsia" w:ascii="Times New Roman" w:hAnsi="Times New Roman" w:eastAsia="仿宋_GB2312"/>
          <w:sz w:val="32"/>
          <w:szCs w:val="32"/>
        </w:rPr>
        <w:t>年中招考试的应届初中毕业生。小中专招生对象为应往届初中及以上毕业生。大中专招生对象为高中及以上学校（含同等学力）毕业的考生。</w:t>
      </w:r>
    </w:p>
    <w:p>
      <w:pPr>
        <w:pStyle w:val="4"/>
        <w:spacing w:line="570" w:lineRule="exact"/>
        <w:ind w:firstLine="645"/>
        <w:rPr>
          <w:rFonts w:ascii="Times New Roman" w:hAnsi="Times New Roman" w:eastAsia="仿宋_GB2312"/>
          <w:kern w:val="0"/>
          <w:sz w:val="32"/>
          <w:szCs w:val="32"/>
        </w:rPr>
      </w:pPr>
      <w:r>
        <w:rPr>
          <w:rFonts w:ascii="Times New Roman" w:hAnsi="Times New Roman" w:eastAsia="仿宋_GB2312"/>
          <w:sz w:val="32"/>
          <w:szCs w:val="32"/>
        </w:rPr>
        <w:t>(2)</w:t>
      </w:r>
      <w:r>
        <w:rPr>
          <w:rFonts w:hint="eastAsia" w:ascii="Times New Roman" w:hAnsi="Times New Roman" w:eastAsia="仿宋_GB2312"/>
          <w:sz w:val="32"/>
          <w:szCs w:val="32"/>
        </w:rPr>
        <w:t>参加中招考试的考生统一在省中招平台上进行，由考生按照系统提示自主填报。填报时间为：</w:t>
      </w:r>
      <w:r>
        <w:rPr>
          <w:rFonts w:ascii="Times New Roman" w:hAnsi="Times New Roman" w:eastAsia="仿宋_GB2312"/>
          <w:sz w:val="32"/>
          <w:szCs w:val="32"/>
        </w:rPr>
        <w:t>6</w:t>
      </w:r>
      <w:r>
        <w:rPr>
          <w:rFonts w:hint="eastAsia" w:ascii="Times New Roman" w:hAnsi="Times New Roman" w:eastAsia="仿宋_GB2312"/>
          <w:sz w:val="32"/>
          <w:szCs w:val="32"/>
        </w:rPr>
        <w:t>月</w:t>
      </w:r>
      <w:r>
        <w:rPr>
          <w:rFonts w:ascii="Times New Roman" w:hAnsi="Times New Roman" w:eastAsia="仿宋_GB2312"/>
          <w:sz w:val="32"/>
          <w:szCs w:val="32"/>
        </w:rPr>
        <w:t>4</w:t>
      </w:r>
      <w:r>
        <w:rPr>
          <w:rFonts w:hint="eastAsia" w:ascii="Times New Roman" w:hAnsi="Times New Roman" w:eastAsia="仿宋_GB2312"/>
          <w:sz w:val="32"/>
          <w:szCs w:val="32"/>
        </w:rPr>
        <w:t>日</w:t>
      </w:r>
      <w:r>
        <w:rPr>
          <w:rFonts w:ascii="Times New Roman" w:hAnsi="Times New Roman" w:eastAsia="仿宋_GB2312"/>
          <w:sz w:val="32"/>
          <w:szCs w:val="32"/>
        </w:rPr>
        <w:t>—7</w:t>
      </w:r>
      <w:r>
        <w:rPr>
          <w:rFonts w:hint="eastAsia" w:ascii="Times New Roman" w:hAnsi="Times New Roman" w:eastAsia="仿宋_GB2312"/>
          <w:sz w:val="32"/>
          <w:szCs w:val="32"/>
        </w:rPr>
        <w:t>月</w:t>
      </w:r>
      <w:r>
        <w:rPr>
          <w:rFonts w:ascii="Times New Roman" w:hAnsi="Times New Roman" w:eastAsia="仿宋_GB2312"/>
          <w:sz w:val="32"/>
          <w:szCs w:val="32"/>
        </w:rPr>
        <w:t>4</w:t>
      </w:r>
      <w:r>
        <w:rPr>
          <w:rFonts w:hint="eastAsia" w:ascii="Times New Roman" w:hAnsi="Times New Roman" w:eastAsia="仿宋_GB2312"/>
          <w:sz w:val="32"/>
          <w:szCs w:val="32"/>
        </w:rPr>
        <w:t>日。每个考生可选报</w:t>
      </w:r>
      <w:r>
        <w:rPr>
          <w:rFonts w:ascii="Times New Roman" w:hAnsi="Times New Roman" w:eastAsia="仿宋_GB2312"/>
          <w:sz w:val="32"/>
          <w:szCs w:val="32"/>
        </w:rPr>
        <w:t>2</w:t>
      </w:r>
      <w:r>
        <w:rPr>
          <w:rFonts w:hint="eastAsia" w:ascii="Times New Roman" w:hAnsi="Times New Roman" w:eastAsia="仿宋_GB2312"/>
          <w:sz w:val="32"/>
          <w:szCs w:val="32"/>
        </w:rPr>
        <w:t>个</w:t>
      </w:r>
      <w:r>
        <w:rPr>
          <w:rFonts w:ascii="Times New Roman" w:hAnsi="Times New Roman" w:eastAsia="仿宋_GB2312"/>
          <w:sz w:val="32"/>
          <w:szCs w:val="32"/>
        </w:rPr>
        <w:t>“</w:t>
      </w:r>
      <w:r>
        <w:rPr>
          <w:rFonts w:hint="eastAsia" w:ascii="Times New Roman" w:hAnsi="Times New Roman" w:eastAsia="仿宋_GB2312"/>
          <w:sz w:val="32"/>
          <w:szCs w:val="32"/>
        </w:rPr>
        <w:t>五年制</w:t>
      </w:r>
      <w:r>
        <w:rPr>
          <w:rFonts w:ascii="Times New Roman" w:hAnsi="Times New Roman" w:eastAsia="仿宋_GB2312"/>
          <w:sz w:val="32"/>
          <w:szCs w:val="32"/>
        </w:rPr>
        <w:t>”</w:t>
      </w:r>
      <w:r>
        <w:rPr>
          <w:rFonts w:hint="eastAsia" w:ascii="Times New Roman" w:hAnsi="Times New Roman" w:eastAsia="仿宋_GB2312"/>
          <w:sz w:val="32"/>
          <w:szCs w:val="32"/>
        </w:rPr>
        <w:t>和</w:t>
      </w:r>
      <w:r>
        <w:rPr>
          <w:rFonts w:ascii="Times New Roman" w:hAnsi="Times New Roman" w:eastAsia="仿宋_GB2312"/>
          <w:sz w:val="32"/>
          <w:szCs w:val="32"/>
        </w:rPr>
        <w:t>“3+2”</w:t>
      </w:r>
      <w:r>
        <w:rPr>
          <w:rFonts w:hint="eastAsia" w:ascii="Times New Roman" w:hAnsi="Times New Roman" w:eastAsia="仿宋_GB2312"/>
          <w:sz w:val="32"/>
          <w:szCs w:val="32"/>
        </w:rPr>
        <w:t>志愿，</w:t>
      </w:r>
      <w:r>
        <w:rPr>
          <w:rFonts w:ascii="Times New Roman" w:hAnsi="Times New Roman" w:eastAsia="仿宋_GB2312"/>
          <w:sz w:val="32"/>
          <w:szCs w:val="32"/>
        </w:rPr>
        <w:t>2</w:t>
      </w:r>
      <w:r>
        <w:rPr>
          <w:rFonts w:hint="eastAsia" w:ascii="Times New Roman" w:hAnsi="Times New Roman" w:eastAsia="仿宋_GB2312"/>
          <w:sz w:val="32"/>
          <w:szCs w:val="32"/>
        </w:rPr>
        <w:t>个小中专志愿。报考普通高中志愿的考生可以兼报</w:t>
      </w:r>
      <w:r>
        <w:rPr>
          <w:rFonts w:ascii="Times New Roman" w:hAnsi="Times New Roman" w:eastAsia="仿宋_GB2312"/>
          <w:sz w:val="32"/>
          <w:szCs w:val="32"/>
        </w:rPr>
        <w:t>“</w:t>
      </w:r>
      <w:r>
        <w:rPr>
          <w:rFonts w:hint="eastAsia" w:ascii="Times New Roman" w:hAnsi="Times New Roman" w:eastAsia="仿宋_GB2312"/>
          <w:sz w:val="32"/>
          <w:szCs w:val="32"/>
        </w:rPr>
        <w:t>五年制</w:t>
      </w:r>
      <w:r>
        <w:rPr>
          <w:rFonts w:ascii="Times New Roman" w:hAnsi="Times New Roman" w:eastAsia="仿宋_GB2312"/>
          <w:sz w:val="32"/>
          <w:szCs w:val="32"/>
        </w:rPr>
        <w:t>”</w:t>
      </w:r>
      <w:r>
        <w:rPr>
          <w:rFonts w:hint="eastAsia" w:ascii="Times New Roman" w:hAnsi="Times New Roman" w:eastAsia="仿宋_GB2312"/>
          <w:sz w:val="32"/>
          <w:szCs w:val="32"/>
        </w:rPr>
        <w:t>、</w:t>
      </w:r>
      <w:r>
        <w:rPr>
          <w:rFonts w:ascii="Times New Roman" w:hAnsi="Times New Roman" w:eastAsia="仿宋_GB2312"/>
          <w:sz w:val="32"/>
          <w:szCs w:val="32"/>
        </w:rPr>
        <w:t>“3+2”</w:t>
      </w:r>
      <w:r>
        <w:rPr>
          <w:rFonts w:hint="eastAsia" w:ascii="Times New Roman" w:hAnsi="Times New Roman" w:eastAsia="仿宋_GB2312"/>
          <w:sz w:val="32"/>
          <w:szCs w:val="32"/>
        </w:rPr>
        <w:t>和小中专志愿</w:t>
      </w:r>
      <w:r>
        <w:rPr>
          <w:rFonts w:hint="eastAsia" w:ascii="Times New Roman" w:hAnsi="Times New Roman" w:eastAsia="仿宋_GB2312"/>
          <w:kern w:val="0"/>
          <w:sz w:val="32"/>
          <w:szCs w:val="32"/>
        </w:rPr>
        <w:t>。兼报</w:t>
      </w:r>
      <w:r>
        <w:rPr>
          <w:rFonts w:ascii="Times New Roman" w:hAnsi="Times New Roman" w:eastAsia="仿宋_GB2312"/>
          <w:kern w:val="0"/>
          <w:sz w:val="32"/>
          <w:szCs w:val="32"/>
        </w:rPr>
        <w:t>“</w:t>
      </w:r>
      <w:r>
        <w:rPr>
          <w:rFonts w:hint="eastAsia" w:ascii="Times New Roman" w:hAnsi="Times New Roman" w:eastAsia="仿宋_GB2312"/>
          <w:kern w:val="0"/>
          <w:sz w:val="32"/>
          <w:szCs w:val="32"/>
        </w:rPr>
        <w:t>五年制</w:t>
      </w:r>
      <w:r>
        <w:rPr>
          <w:rFonts w:ascii="Times New Roman" w:hAnsi="Times New Roman" w:eastAsia="仿宋_GB2312"/>
          <w:kern w:val="0"/>
          <w:sz w:val="32"/>
          <w:szCs w:val="32"/>
        </w:rPr>
        <w:t>”</w:t>
      </w:r>
      <w:r>
        <w:rPr>
          <w:rFonts w:hint="eastAsia" w:ascii="Times New Roman" w:hAnsi="Times New Roman" w:eastAsia="仿宋_GB2312"/>
          <w:kern w:val="0"/>
          <w:sz w:val="32"/>
          <w:szCs w:val="32"/>
        </w:rPr>
        <w:t>、</w:t>
      </w:r>
      <w:r>
        <w:rPr>
          <w:rFonts w:ascii="Times New Roman" w:hAnsi="Times New Roman" w:eastAsia="仿宋_GB2312"/>
          <w:kern w:val="0"/>
          <w:sz w:val="32"/>
          <w:szCs w:val="32"/>
        </w:rPr>
        <w:t>“3+2”</w:t>
      </w:r>
      <w:r>
        <w:rPr>
          <w:rFonts w:hint="eastAsia" w:ascii="Times New Roman" w:hAnsi="Times New Roman" w:eastAsia="仿宋_GB2312"/>
          <w:kern w:val="0"/>
          <w:sz w:val="32"/>
          <w:szCs w:val="32"/>
        </w:rPr>
        <w:t>和小中专志愿，不影响普通高中正常录取。</w:t>
      </w:r>
    </w:p>
    <w:p>
      <w:pPr>
        <w:pStyle w:val="4"/>
        <w:spacing w:line="570" w:lineRule="exact"/>
        <w:ind w:firstLine="630"/>
        <w:rPr>
          <w:rFonts w:ascii="Times New Roman" w:hAnsi="Times New Roman" w:eastAsia="仿宋_GB2312"/>
          <w:kern w:val="0"/>
          <w:sz w:val="32"/>
          <w:szCs w:val="32"/>
        </w:rPr>
      </w:pPr>
      <w:r>
        <w:rPr>
          <w:rFonts w:ascii="Times New Roman" w:hAnsi="Times New Roman" w:eastAsia="仿宋_GB2312"/>
          <w:kern w:val="0"/>
          <w:sz w:val="32"/>
          <w:szCs w:val="32"/>
        </w:rPr>
        <w:t>(3)</w:t>
      </w:r>
      <w:r>
        <w:rPr>
          <w:rFonts w:hint="eastAsia" w:ascii="Times New Roman" w:hAnsi="Times New Roman" w:eastAsia="仿宋_GB2312"/>
          <w:kern w:val="0"/>
          <w:sz w:val="32"/>
          <w:szCs w:val="32"/>
        </w:rPr>
        <w:t>不参加中招考试的应往届初中毕业生可以通过</w:t>
      </w:r>
      <w:r>
        <w:rPr>
          <w:rFonts w:ascii="Times New Roman" w:hAnsi="Times New Roman" w:eastAsia="仿宋_GB2312"/>
          <w:kern w:val="0"/>
          <w:sz w:val="32"/>
          <w:szCs w:val="32"/>
        </w:rPr>
        <w:t>“</w:t>
      </w:r>
      <w:r>
        <w:rPr>
          <w:rFonts w:hint="eastAsia" w:ascii="Times New Roman" w:hAnsi="Times New Roman" w:eastAsia="仿宋_GB2312"/>
          <w:kern w:val="0"/>
          <w:sz w:val="32"/>
          <w:szCs w:val="32"/>
        </w:rPr>
        <w:t>河南省普通中等专业学校招生服务平台</w:t>
      </w:r>
      <w:r>
        <w:rPr>
          <w:rFonts w:ascii="Times New Roman" w:hAnsi="Times New Roman" w:eastAsia="仿宋_GB2312"/>
          <w:kern w:val="0"/>
          <w:sz w:val="32"/>
          <w:szCs w:val="32"/>
        </w:rPr>
        <w:t>”</w:t>
      </w:r>
      <w:r>
        <w:rPr>
          <w:rFonts w:hint="eastAsia" w:ascii="Times New Roman" w:hAnsi="Times New Roman" w:eastAsia="仿宋_GB2312"/>
          <w:kern w:val="0"/>
          <w:sz w:val="32"/>
          <w:szCs w:val="32"/>
        </w:rPr>
        <w:t>（</w:t>
      </w:r>
      <w:r>
        <w:rPr>
          <w:rFonts w:ascii="Times New Roman" w:hAnsi="Times New Roman" w:eastAsia="仿宋_GB2312"/>
          <w:kern w:val="0"/>
          <w:sz w:val="32"/>
          <w:szCs w:val="32"/>
        </w:rPr>
        <w:t xml:space="preserve"> http://zzlq.heao.gov.cn/</w:t>
      </w:r>
      <w:r>
        <w:rPr>
          <w:rFonts w:hint="eastAsia" w:ascii="Times New Roman" w:hAnsi="Times New Roman" w:eastAsia="仿宋_GB2312"/>
          <w:kern w:val="0"/>
          <w:sz w:val="32"/>
          <w:szCs w:val="32"/>
        </w:rPr>
        <w:t>）选报学校，也可以直接与招生学校联系报名。</w:t>
      </w:r>
    </w:p>
    <w:p>
      <w:pPr>
        <w:pStyle w:val="4"/>
        <w:spacing w:line="570" w:lineRule="exact"/>
        <w:ind w:firstLine="630"/>
        <w:rPr>
          <w:rFonts w:ascii="Times New Roman" w:hAnsi="Times New Roman" w:eastAsia="仿宋_GB2312"/>
          <w:kern w:val="0"/>
          <w:sz w:val="32"/>
          <w:szCs w:val="32"/>
        </w:rPr>
      </w:pPr>
      <w:r>
        <w:rPr>
          <w:rFonts w:ascii="Times New Roman" w:hAnsi="Times New Roman" w:eastAsia="仿宋_GB2312"/>
          <w:kern w:val="0"/>
          <w:sz w:val="32"/>
          <w:szCs w:val="32"/>
        </w:rPr>
        <w:t>(4)</w:t>
      </w:r>
      <w:r>
        <w:rPr>
          <w:rFonts w:hint="eastAsia" w:ascii="Times New Roman" w:hAnsi="Times New Roman" w:eastAsia="仿宋_GB2312"/>
          <w:kern w:val="0"/>
          <w:sz w:val="32"/>
          <w:szCs w:val="32"/>
        </w:rPr>
        <w:t>大中专（招收高中毕业生的普通中专）招生对象为高中阶段及以上学校毕业或具有同等学力（初中毕业三年以上）的考生。符合条件的考生可持高中及以上学校（含同等学力）毕业证书或高考准考证和身份证，通过</w:t>
      </w:r>
      <w:r>
        <w:rPr>
          <w:rFonts w:ascii="Times New Roman" w:hAnsi="Times New Roman" w:eastAsia="仿宋_GB2312"/>
          <w:kern w:val="0"/>
          <w:sz w:val="32"/>
          <w:szCs w:val="32"/>
        </w:rPr>
        <w:t>“</w:t>
      </w:r>
      <w:r>
        <w:rPr>
          <w:rFonts w:hint="eastAsia" w:ascii="Times New Roman" w:hAnsi="Times New Roman" w:eastAsia="仿宋_GB2312"/>
          <w:kern w:val="0"/>
          <w:sz w:val="32"/>
          <w:szCs w:val="32"/>
        </w:rPr>
        <w:t>河南省普通中等专业学校招生服务平台</w:t>
      </w:r>
      <w:r>
        <w:rPr>
          <w:rFonts w:ascii="Times New Roman" w:hAnsi="Times New Roman" w:eastAsia="仿宋_GB2312"/>
          <w:kern w:val="0"/>
          <w:sz w:val="32"/>
          <w:szCs w:val="32"/>
        </w:rPr>
        <w:t>”</w:t>
      </w:r>
      <w:r>
        <w:rPr>
          <w:rFonts w:hint="eastAsia" w:ascii="Times New Roman" w:hAnsi="Times New Roman" w:eastAsia="仿宋_GB2312"/>
          <w:kern w:val="0"/>
          <w:sz w:val="32"/>
          <w:szCs w:val="32"/>
        </w:rPr>
        <w:t>报名，也可以直接到普通中专学校报名。</w:t>
      </w:r>
    </w:p>
    <w:p>
      <w:pPr>
        <w:pStyle w:val="4"/>
        <w:spacing w:line="570" w:lineRule="exact"/>
        <w:ind w:firstLine="630"/>
        <w:rPr>
          <w:rFonts w:ascii="Times New Roman" w:hAnsi="Times New Roman" w:eastAsia="仿宋_GB2312"/>
          <w:kern w:val="0"/>
          <w:sz w:val="32"/>
          <w:szCs w:val="32"/>
        </w:rPr>
      </w:pPr>
      <w:r>
        <w:rPr>
          <w:rFonts w:hint="eastAsia" w:ascii="Times New Roman" w:hAnsi="Times New Roman" w:eastAsia="仿宋_GB2312"/>
          <w:kern w:val="0"/>
          <w:sz w:val="32"/>
          <w:szCs w:val="32"/>
        </w:rPr>
        <w:t>各普通中专学校招生计划统一发布在</w:t>
      </w:r>
      <w:r>
        <w:rPr>
          <w:rFonts w:ascii="Times New Roman" w:hAnsi="Times New Roman" w:eastAsia="仿宋_GB2312"/>
          <w:kern w:val="0"/>
          <w:sz w:val="32"/>
          <w:szCs w:val="32"/>
        </w:rPr>
        <w:t>“</w:t>
      </w:r>
      <w:r>
        <w:rPr>
          <w:rFonts w:hint="eastAsia" w:ascii="Times New Roman" w:hAnsi="Times New Roman" w:eastAsia="仿宋_GB2312"/>
          <w:kern w:val="0"/>
          <w:sz w:val="32"/>
          <w:szCs w:val="32"/>
        </w:rPr>
        <w:t>河南省普通中等专业学校招生服务平台</w:t>
      </w:r>
      <w:r>
        <w:rPr>
          <w:rFonts w:ascii="Times New Roman" w:hAnsi="Times New Roman" w:eastAsia="仿宋_GB2312"/>
          <w:kern w:val="0"/>
          <w:sz w:val="32"/>
          <w:szCs w:val="32"/>
        </w:rPr>
        <w:t>”</w:t>
      </w:r>
      <w:r>
        <w:rPr>
          <w:rFonts w:hint="eastAsia" w:ascii="Times New Roman" w:hAnsi="Times New Roman" w:eastAsia="仿宋_GB2312"/>
          <w:kern w:val="0"/>
          <w:sz w:val="32"/>
          <w:szCs w:val="32"/>
        </w:rPr>
        <w:t>上，考生和家长也可以直接到所在初中学校查阅《</w:t>
      </w:r>
      <w:r>
        <w:rPr>
          <w:rFonts w:ascii="Times New Roman" w:hAnsi="Times New Roman" w:eastAsia="仿宋_GB2312"/>
          <w:kern w:val="0"/>
          <w:sz w:val="32"/>
          <w:szCs w:val="32"/>
        </w:rPr>
        <w:t>2021</w:t>
      </w:r>
      <w:r>
        <w:rPr>
          <w:rFonts w:hint="eastAsia" w:ascii="Times New Roman" w:hAnsi="Times New Roman" w:eastAsia="仿宋_GB2312"/>
          <w:kern w:val="0"/>
          <w:sz w:val="32"/>
          <w:szCs w:val="32"/>
        </w:rPr>
        <w:t>年河南省普通中等专业学校招生专业目录》。</w:t>
      </w:r>
    </w:p>
    <w:p>
      <w:pPr>
        <w:pStyle w:val="9"/>
        <w:widowControl w:val="0"/>
        <w:spacing w:before="0" w:beforeAutospacing="0" w:after="0" w:afterAutospacing="0" w:line="570" w:lineRule="exact"/>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rPr>
        <w:t>各县区、各学校不得限制符合条件的考生填报志愿（含普通中专）。考生报考志愿由学生本人填报，严禁强迫考生违背本人意愿填报志愿，严禁学校和教师代替考生填报志愿。</w:t>
      </w:r>
    </w:p>
    <w:p>
      <w:pPr>
        <w:pStyle w:val="9"/>
        <w:widowControl w:val="0"/>
        <w:spacing w:before="0" w:beforeAutospacing="0" w:after="0" w:afterAutospacing="0" w:line="570" w:lineRule="exact"/>
        <w:ind w:firstLine="643" w:firstLineChars="200"/>
        <w:jc w:val="both"/>
        <w:rPr>
          <w:rFonts w:ascii="Times New Roman" w:hAnsi="Times New Roman" w:eastAsia="楷体_GB2312" w:cs="Times New Roman"/>
          <w:b/>
          <w:sz w:val="32"/>
          <w:szCs w:val="32"/>
        </w:rPr>
      </w:pPr>
      <w:r>
        <w:rPr>
          <w:rFonts w:hint="eastAsia" w:ascii="Times New Roman" w:hAnsi="Times New Roman" w:eastAsia="楷体_GB2312" w:cs="Times New Roman"/>
          <w:b/>
          <w:kern w:val="2"/>
          <w:sz w:val="32"/>
          <w:szCs w:val="32"/>
        </w:rPr>
        <w:t>（三）</w:t>
      </w:r>
      <w:r>
        <w:rPr>
          <w:rFonts w:hint="eastAsia" w:ascii="Times New Roman" w:hAnsi="Times New Roman" w:eastAsia="楷体_GB2312" w:cs="Times New Roman"/>
          <w:b/>
          <w:sz w:val="32"/>
          <w:szCs w:val="32"/>
        </w:rPr>
        <w:t>考试</w:t>
      </w:r>
    </w:p>
    <w:p>
      <w:pPr>
        <w:spacing w:line="570" w:lineRule="exact"/>
        <w:ind w:firstLine="640" w:firstLineChars="200"/>
        <w:rPr>
          <w:rFonts w:eastAsia="仿宋_GB2312"/>
          <w:kern w:val="0"/>
          <w:sz w:val="32"/>
          <w:szCs w:val="32"/>
        </w:rPr>
      </w:pPr>
      <w:r>
        <w:rPr>
          <w:rFonts w:eastAsia="仿宋_GB2312"/>
          <w:kern w:val="0"/>
          <w:sz w:val="32"/>
          <w:szCs w:val="32"/>
        </w:rPr>
        <w:t>2021</w:t>
      </w:r>
      <w:r>
        <w:rPr>
          <w:rFonts w:hint="eastAsia" w:eastAsia="仿宋_GB2312"/>
          <w:kern w:val="0"/>
          <w:sz w:val="32"/>
          <w:szCs w:val="32"/>
        </w:rPr>
        <w:t>年我市中招文化课考试仍为单科考试方案，全省统一命题考试的科目为语文、数学、英语、物理、化学、道德与法治、历史。命题依据义务教育课程标准（</w:t>
      </w:r>
      <w:r>
        <w:rPr>
          <w:rFonts w:eastAsia="仿宋_GB2312"/>
          <w:kern w:val="0"/>
          <w:sz w:val="32"/>
          <w:szCs w:val="32"/>
        </w:rPr>
        <w:t>2011</w:t>
      </w:r>
      <w:r>
        <w:rPr>
          <w:rFonts w:hint="eastAsia" w:eastAsia="仿宋_GB2312"/>
          <w:kern w:val="0"/>
          <w:sz w:val="32"/>
          <w:szCs w:val="32"/>
        </w:rPr>
        <w:t>年版），体现课程改革的理念与要求，减少单纯记忆、机械训练性质的内容，突出对学科主干知识和学科素养的考查，增强与学生生活、社会实践的联系，注重考查学生在具体情境中综合运用所学知识分析问题和解决问题的能力，引导发展素质教育。道德与法治学科的时事政治命题范围为</w:t>
      </w:r>
      <w:r>
        <w:rPr>
          <w:rFonts w:eastAsia="仿宋_GB2312"/>
          <w:kern w:val="0"/>
          <w:sz w:val="32"/>
          <w:szCs w:val="32"/>
        </w:rPr>
        <w:t>“</w:t>
      </w:r>
      <w:r>
        <w:rPr>
          <w:rFonts w:hint="eastAsia" w:eastAsia="仿宋_GB2312"/>
          <w:kern w:val="0"/>
          <w:sz w:val="32"/>
          <w:szCs w:val="32"/>
        </w:rPr>
        <w:t>考查</w:t>
      </w:r>
      <w:r>
        <w:rPr>
          <w:rFonts w:eastAsia="仿宋_GB2312"/>
          <w:kern w:val="0"/>
          <w:sz w:val="32"/>
          <w:szCs w:val="32"/>
        </w:rPr>
        <w:t>2020</w:t>
      </w:r>
      <w:r>
        <w:rPr>
          <w:rFonts w:hint="eastAsia" w:eastAsia="仿宋_GB2312"/>
          <w:kern w:val="0"/>
          <w:sz w:val="32"/>
          <w:szCs w:val="32"/>
        </w:rPr>
        <w:t>年国内外重大时事，</w:t>
      </w:r>
      <w:r>
        <w:rPr>
          <w:rFonts w:eastAsia="仿宋_GB2312"/>
          <w:kern w:val="0"/>
          <w:sz w:val="32"/>
          <w:szCs w:val="32"/>
        </w:rPr>
        <w:t>2021</w:t>
      </w:r>
      <w:r>
        <w:rPr>
          <w:rFonts w:hint="eastAsia" w:eastAsia="仿宋_GB2312"/>
          <w:kern w:val="0"/>
          <w:sz w:val="32"/>
          <w:szCs w:val="32"/>
        </w:rPr>
        <w:t>年</w:t>
      </w:r>
      <w:r>
        <w:rPr>
          <w:rFonts w:eastAsia="仿宋_GB2312"/>
          <w:kern w:val="0"/>
          <w:sz w:val="32"/>
          <w:szCs w:val="32"/>
        </w:rPr>
        <w:t>1</w:t>
      </w:r>
      <w:r>
        <w:rPr>
          <w:rFonts w:hint="eastAsia" w:eastAsia="仿宋_GB2312"/>
          <w:kern w:val="0"/>
          <w:sz w:val="32"/>
          <w:szCs w:val="32"/>
        </w:rPr>
        <w:t>月以来的国内外重要时事，党的十九大和十九届二中、三中、四中、五中全会精神及党和国家在现阶段的重要方针政策</w:t>
      </w:r>
      <w:r>
        <w:rPr>
          <w:rFonts w:eastAsia="仿宋_GB2312"/>
          <w:kern w:val="0"/>
          <w:sz w:val="32"/>
          <w:szCs w:val="32"/>
        </w:rPr>
        <w:t>”</w:t>
      </w:r>
      <w:r>
        <w:rPr>
          <w:rFonts w:hint="eastAsia" w:eastAsia="仿宋_GB2312"/>
          <w:kern w:val="0"/>
          <w:sz w:val="32"/>
          <w:szCs w:val="32"/>
        </w:rPr>
        <w:t>。各学科考试时间和分值见《</w:t>
      </w:r>
      <w:r>
        <w:rPr>
          <w:rFonts w:eastAsia="仿宋_GB2312"/>
          <w:kern w:val="0"/>
          <w:sz w:val="32"/>
          <w:szCs w:val="32"/>
        </w:rPr>
        <w:t>2021</w:t>
      </w:r>
      <w:r>
        <w:rPr>
          <w:rFonts w:hint="eastAsia" w:eastAsia="仿宋_GB2312"/>
          <w:kern w:val="0"/>
          <w:sz w:val="32"/>
          <w:szCs w:val="32"/>
        </w:rPr>
        <w:t>年河南省普通高中招生考试方案》（附件</w:t>
      </w:r>
      <w:r>
        <w:rPr>
          <w:rFonts w:eastAsia="仿宋_GB2312"/>
          <w:kern w:val="0"/>
          <w:sz w:val="32"/>
          <w:szCs w:val="32"/>
        </w:rPr>
        <w:t>1</w:t>
      </w:r>
      <w:r>
        <w:rPr>
          <w:rFonts w:hint="eastAsia" w:eastAsia="仿宋_GB2312"/>
          <w:kern w:val="0"/>
          <w:sz w:val="32"/>
          <w:szCs w:val="32"/>
        </w:rPr>
        <w:t>）。</w:t>
      </w:r>
    </w:p>
    <w:p>
      <w:pPr>
        <w:spacing w:line="570" w:lineRule="exact"/>
        <w:ind w:firstLine="640" w:firstLineChars="200"/>
        <w:rPr>
          <w:rFonts w:eastAsia="仿宋_GB2312"/>
          <w:kern w:val="0"/>
          <w:sz w:val="32"/>
          <w:szCs w:val="32"/>
        </w:rPr>
      </w:pPr>
      <w:r>
        <w:rPr>
          <w:rFonts w:hint="eastAsia" w:eastAsia="仿宋_GB2312"/>
          <w:kern w:val="0"/>
          <w:sz w:val="32"/>
          <w:szCs w:val="32"/>
        </w:rPr>
        <w:t>英语听力考试采用光盘播放，各考点要统一配备相关设备。</w:t>
      </w:r>
      <w:r>
        <w:rPr>
          <w:rFonts w:eastAsia="仿宋_GB2312"/>
          <w:kern w:val="0"/>
          <w:sz w:val="32"/>
          <w:szCs w:val="32"/>
        </w:rPr>
        <w:t xml:space="preserve">  </w:t>
      </w:r>
    </w:p>
    <w:p>
      <w:pPr>
        <w:spacing w:line="570" w:lineRule="exact"/>
        <w:rPr>
          <w:rFonts w:eastAsia="仿宋_GB2312"/>
          <w:kern w:val="0"/>
          <w:sz w:val="32"/>
          <w:szCs w:val="32"/>
        </w:rPr>
      </w:pPr>
      <w:r>
        <w:rPr>
          <w:rFonts w:hint="eastAsia" w:eastAsia="仿宋_GB2312"/>
          <w:kern w:val="0"/>
          <w:sz w:val="32"/>
          <w:szCs w:val="32"/>
        </w:rPr>
        <w:t>继续实行初中毕业生体育考试和物理、化学、生物实验操作考试，体育考试和理化生实验操作考试纳入中招统一管理。</w:t>
      </w:r>
    </w:p>
    <w:p>
      <w:pPr>
        <w:spacing w:line="570" w:lineRule="exact"/>
        <w:rPr>
          <w:rFonts w:eastAsia="仿宋_GB2312"/>
          <w:kern w:val="0"/>
          <w:sz w:val="32"/>
          <w:szCs w:val="32"/>
        </w:rPr>
      </w:pPr>
      <w:r>
        <w:rPr>
          <w:rFonts w:eastAsia="仿宋_GB2312"/>
          <w:sz w:val="32"/>
          <w:szCs w:val="32"/>
        </w:rPr>
        <w:t xml:space="preserve">   </w:t>
      </w:r>
      <w:r>
        <w:rPr>
          <w:rFonts w:eastAsia="仿宋_GB2312"/>
          <w:kern w:val="0"/>
          <w:sz w:val="32"/>
          <w:szCs w:val="32"/>
        </w:rPr>
        <w:t xml:space="preserve"> </w:t>
      </w:r>
      <w:r>
        <w:rPr>
          <w:rFonts w:hint="eastAsia" w:eastAsia="仿宋_GB2312"/>
          <w:kern w:val="0"/>
          <w:sz w:val="32"/>
          <w:szCs w:val="32"/>
        </w:rPr>
        <w:t>体育考试纳入综合素质评定之中，进行运动与健康素质测评，按满分</w:t>
      </w:r>
      <w:r>
        <w:rPr>
          <w:rFonts w:eastAsia="仿宋_GB2312"/>
          <w:kern w:val="0"/>
          <w:sz w:val="32"/>
          <w:szCs w:val="32"/>
        </w:rPr>
        <w:t>70</w:t>
      </w:r>
      <w:r>
        <w:rPr>
          <w:rFonts w:hint="eastAsia" w:eastAsia="仿宋_GB2312"/>
          <w:kern w:val="0"/>
          <w:sz w:val="32"/>
          <w:szCs w:val="32"/>
        </w:rPr>
        <w:t>分计入中招录取总成绩。</w:t>
      </w:r>
      <w:r>
        <w:rPr>
          <w:rFonts w:hint="eastAsia" w:eastAsia="仿宋_GB2312"/>
          <w:sz w:val="32"/>
          <w:szCs w:val="32"/>
        </w:rPr>
        <w:t>物理、化学、生物实验操作考试由教育技术装备部门具体实施，按照三科满分共</w:t>
      </w:r>
      <w:r>
        <w:rPr>
          <w:rFonts w:eastAsia="仿宋_GB2312"/>
          <w:sz w:val="32"/>
          <w:szCs w:val="32"/>
        </w:rPr>
        <w:t>30</w:t>
      </w:r>
      <w:r>
        <w:rPr>
          <w:rFonts w:hint="eastAsia" w:eastAsia="仿宋_GB2312"/>
          <w:sz w:val="32"/>
          <w:szCs w:val="32"/>
        </w:rPr>
        <w:t>分计入中招</w:t>
      </w:r>
      <w:r>
        <w:rPr>
          <w:rFonts w:hint="eastAsia" w:eastAsia="仿宋_GB2312"/>
          <w:kern w:val="0"/>
          <w:sz w:val="32"/>
          <w:szCs w:val="32"/>
        </w:rPr>
        <w:t>录取总成绩</w:t>
      </w:r>
      <w:r>
        <w:rPr>
          <w:rFonts w:hint="eastAsia" w:eastAsia="仿宋_GB2312"/>
          <w:sz w:val="32"/>
          <w:szCs w:val="32"/>
        </w:rPr>
        <w:t>。</w:t>
      </w:r>
    </w:p>
    <w:p>
      <w:pPr>
        <w:spacing w:line="570" w:lineRule="exact"/>
        <w:ind w:firstLine="640" w:firstLineChars="200"/>
        <w:rPr>
          <w:rFonts w:eastAsia="仿宋_GB2312"/>
          <w:kern w:val="0"/>
          <w:sz w:val="32"/>
          <w:szCs w:val="32"/>
        </w:rPr>
      </w:pPr>
      <w:r>
        <w:rPr>
          <w:rFonts w:hint="eastAsia" w:eastAsia="仿宋_GB2312"/>
          <w:kern w:val="0"/>
          <w:sz w:val="32"/>
          <w:szCs w:val="32"/>
        </w:rPr>
        <w:t>综合实践活动（含信息技术、劳动技术、研究性学习、社区服务和社会实践）、生物、地理、音乐、美术等国家课程、地方课程和学校课程，也应进行学业考查（考试），由县区教育行政部门统一组织，以初中学校为主实施，体现在学生的综合素质评定之中。</w:t>
      </w:r>
    </w:p>
    <w:p>
      <w:pPr>
        <w:spacing w:line="570" w:lineRule="exact"/>
        <w:ind w:firstLine="640" w:firstLineChars="200"/>
        <w:rPr>
          <w:rFonts w:eastAsia="仿宋_GB2312"/>
          <w:kern w:val="0"/>
          <w:sz w:val="32"/>
          <w:szCs w:val="32"/>
        </w:rPr>
      </w:pPr>
      <w:r>
        <w:rPr>
          <w:rFonts w:hint="eastAsia" w:eastAsia="仿宋_GB2312"/>
          <w:kern w:val="0"/>
          <w:sz w:val="32"/>
          <w:szCs w:val="32"/>
        </w:rPr>
        <w:t>按照《河南省教育厅印发〈关于进一步推进高中阶段学校考试招生制度改革的实施意见〉的通知》（豫教基二〔</w:t>
      </w:r>
      <w:r>
        <w:rPr>
          <w:rFonts w:eastAsia="仿宋_GB2312"/>
          <w:kern w:val="0"/>
          <w:sz w:val="32"/>
          <w:szCs w:val="32"/>
        </w:rPr>
        <w:t>2017</w:t>
      </w:r>
      <w:r>
        <w:rPr>
          <w:rFonts w:hint="eastAsia" w:eastAsia="仿宋_GB2312"/>
          <w:kern w:val="0"/>
          <w:sz w:val="32"/>
          <w:szCs w:val="32"/>
        </w:rPr>
        <w:t>〕</w:t>
      </w:r>
      <w:r>
        <w:rPr>
          <w:rFonts w:eastAsia="仿宋_GB2312"/>
          <w:kern w:val="0"/>
          <w:sz w:val="32"/>
          <w:szCs w:val="32"/>
        </w:rPr>
        <w:t>169</w:t>
      </w:r>
      <w:r>
        <w:rPr>
          <w:rFonts w:hint="eastAsia" w:eastAsia="仿宋_GB2312"/>
          <w:kern w:val="0"/>
          <w:sz w:val="32"/>
          <w:szCs w:val="32"/>
        </w:rPr>
        <w:t>号）要求，从</w:t>
      </w:r>
      <w:r>
        <w:rPr>
          <w:rFonts w:eastAsia="仿宋_GB2312"/>
          <w:kern w:val="0"/>
          <w:sz w:val="32"/>
          <w:szCs w:val="32"/>
        </w:rPr>
        <w:t>2020</w:t>
      </w:r>
      <w:r>
        <w:rPr>
          <w:rFonts w:hint="eastAsia" w:eastAsia="仿宋_GB2312"/>
          <w:kern w:val="0"/>
          <w:sz w:val="32"/>
          <w:szCs w:val="32"/>
        </w:rPr>
        <w:t>年入学的初一年级新生开始，将生物、地理纳入中招考试科目，在相应课程结束后进行，实行随教随考随清。考试时间安排在初二年级下学期期末，随当年初三年级中招考试一并组织，考试成绩计入学生次年中招录取总成绩。</w:t>
      </w:r>
    </w:p>
    <w:p>
      <w:pPr>
        <w:spacing w:line="570" w:lineRule="exact"/>
        <w:rPr>
          <w:rFonts w:eastAsia="楷体_GB2312"/>
          <w:b/>
          <w:sz w:val="32"/>
          <w:szCs w:val="32"/>
        </w:rPr>
      </w:pPr>
      <w:r>
        <w:rPr>
          <w:rFonts w:eastAsia="仿宋_GB2312"/>
          <w:sz w:val="32"/>
          <w:szCs w:val="32"/>
        </w:rPr>
        <w:t xml:space="preserve">    </w:t>
      </w:r>
      <w:r>
        <w:rPr>
          <w:rFonts w:hint="eastAsia" w:eastAsia="楷体_GB2312"/>
          <w:b/>
          <w:sz w:val="32"/>
          <w:szCs w:val="32"/>
        </w:rPr>
        <w:t>（四）阅卷</w:t>
      </w:r>
    </w:p>
    <w:p>
      <w:pPr>
        <w:adjustRightInd w:val="0"/>
        <w:snapToGrid w:val="0"/>
        <w:spacing w:line="570" w:lineRule="exact"/>
        <w:rPr>
          <w:rFonts w:eastAsia="仿宋_GB2312"/>
          <w:kern w:val="0"/>
          <w:sz w:val="32"/>
          <w:szCs w:val="32"/>
        </w:rPr>
      </w:pPr>
      <w:r>
        <w:rPr>
          <w:rFonts w:eastAsia="仿宋_GB2312"/>
          <w:sz w:val="32"/>
          <w:szCs w:val="32"/>
        </w:rPr>
        <w:t xml:space="preserve">    </w:t>
      </w:r>
      <w:r>
        <w:rPr>
          <w:rFonts w:hint="eastAsia" w:eastAsia="仿宋_GB2312"/>
          <w:sz w:val="32"/>
          <w:szCs w:val="32"/>
        </w:rPr>
        <w:t>源汇区、郾城区、召陵区三个考区的阅卷工</w:t>
      </w:r>
      <w:r>
        <w:rPr>
          <w:rFonts w:hint="eastAsia" w:eastAsia="仿宋_GB2312"/>
          <w:kern w:val="0"/>
          <w:sz w:val="32"/>
          <w:szCs w:val="32"/>
        </w:rPr>
        <w:t>作由市考试中心</w:t>
      </w:r>
      <w:r>
        <w:rPr>
          <w:rFonts w:hint="eastAsia" w:eastAsia="仿宋_GB2312"/>
          <w:sz w:val="32"/>
          <w:szCs w:val="32"/>
        </w:rPr>
        <w:t>统一组织，舞阳县、临颍县的阅卷工作由各县组织。</w:t>
      </w:r>
      <w:r>
        <w:rPr>
          <w:rFonts w:hint="eastAsia" w:eastAsia="仿宋_GB2312"/>
          <w:kern w:val="0"/>
          <w:sz w:val="32"/>
          <w:szCs w:val="32"/>
        </w:rPr>
        <w:t>市县要选聘责任心强、理论和专业水平高的教师参加阅卷工作，要加强阅卷队伍管理，搞好培训，不断提高阅卷质量。要加强对阅卷工作的督查和监控，强化对主观题的复评，继续实行作文由三人独立评阅制度。加强试卷评分复核工作管理，明确每个学科试卷抽样复核的具体数量和比例，并严格按照规定程序进行复核。市县要积极采用网上阅卷手段，提高阅卷的科学性、准确性，确保客观、公正。</w:t>
      </w:r>
    </w:p>
    <w:p>
      <w:pPr>
        <w:spacing w:line="570" w:lineRule="exact"/>
        <w:rPr>
          <w:rFonts w:eastAsia="仿宋_GB2312"/>
          <w:sz w:val="32"/>
        </w:rPr>
      </w:pPr>
      <w:r>
        <w:rPr>
          <w:rFonts w:eastAsia="仿宋_GB2312"/>
          <w:sz w:val="32"/>
          <w:szCs w:val="32"/>
        </w:rPr>
        <w:t xml:space="preserve">    </w:t>
      </w:r>
      <w:r>
        <w:rPr>
          <w:rFonts w:hint="eastAsia" w:eastAsia="楷体_GB2312"/>
          <w:b/>
          <w:sz w:val="32"/>
          <w:szCs w:val="32"/>
        </w:rPr>
        <w:t>（五）</w:t>
      </w:r>
      <w:r>
        <w:rPr>
          <w:rFonts w:hint="eastAsia" w:eastAsia="楷体_GB2312"/>
          <w:b/>
          <w:kern w:val="0"/>
          <w:sz w:val="32"/>
          <w:szCs w:val="32"/>
        </w:rPr>
        <w:t>录取</w:t>
      </w:r>
    </w:p>
    <w:p>
      <w:pPr>
        <w:spacing w:line="570" w:lineRule="exact"/>
        <w:ind w:firstLine="643" w:firstLineChars="200"/>
        <w:rPr>
          <w:rFonts w:eastAsia="仿宋_GB2312"/>
          <w:b/>
          <w:sz w:val="32"/>
          <w:szCs w:val="32"/>
        </w:rPr>
      </w:pPr>
      <w:r>
        <w:rPr>
          <w:rFonts w:eastAsia="仿宋_GB2312"/>
          <w:b/>
          <w:sz w:val="32"/>
          <w:szCs w:val="32"/>
        </w:rPr>
        <w:t>1.</w:t>
      </w:r>
      <w:r>
        <w:rPr>
          <w:rFonts w:hint="eastAsia" w:hAnsi="仿宋_GB2312" w:eastAsia="仿宋_GB2312"/>
          <w:b/>
          <w:sz w:val="32"/>
          <w:szCs w:val="32"/>
        </w:rPr>
        <w:t>普通高中</w:t>
      </w:r>
    </w:p>
    <w:p>
      <w:pPr>
        <w:adjustRightInd w:val="0"/>
        <w:snapToGrid w:val="0"/>
        <w:spacing w:line="570" w:lineRule="exact"/>
        <w:ind w:firstLine="640" w:firstLineChars="200"/>
        <w:rPr>
          <w:rFonts w:eastAsia="仿宋_GB2312"/>
          <w:kern w:val="0"/>
          <w:sz w:val="32"/>
          <w:szCs w:val="32"/>
        </w:rPr>
      </w:pPr>
      <w:r>
        <w:rPr>
          <w:rFonts w:hint="eastAsia" w:eastAsia="仿宋_GB2312"/>
          <w:kern w:val="0"/>
          <w:sz w:val="32"/>
          <w:szCs w:val="32"/>
        </w:rPr>
        <w:t>普通高中录取坚持综合评价、择优录取的原则。初中学业水平考试成绩和综合素质评定结果是普通高中录取的主要依据。录取工作全部在省中招平台上进行，严格按照招生计划和学生报考志愿，在普通高中最低录取控制分数线以上实行网上统一录取。</w:t>
      </w:r>
      <w:r>
        <w:rPr>
          <w:rFonts w:hint="eastAsia" w:eastAsia="仿宋_GB2312"/>
          <w:sz w:val="32"/>
          <w:szCs w:val="32"/>
        </w:rPr>
        <w:t>市区普通高中录取工作由市教育局负责，舞阳、临颍两县教育局负责本县普通高中的录取工作。</w:t>
      </w:r>
    </w:p>
    <w:p>
      <w:pPr>
        <w:spacing w:line="570" w:lineRule="exact"/>
        <w:rPr>
          <w:rFonts w:eastAsia="仿宋_GB2312"/>
          <w:sz w:val="32"/>
          <w:szCs w:val="32"/>
        </w:rPr>
      </w:pPr>
      <w:r>
        <w:rPr>
          <w:rFonts w:eastAsia="仿宋_GB2312"/>
          <w:sz w:val="32"/>
          <w:szCs w:val="32"/>
        </w:rPr>
        <w:t xml:space="preserve">    </w:t>
      </w:r>
      <w:r>
        <w:rPr>
          <w:rFonts w:hint="eastAsia" w:eastAsia="仿宋_GB2312"/>
          <w:sz w:val="32"/>
          <w:szCs w:val="32"/>
        </w:rPr>
        <w:t>普通高中录取分面向全省招生录取和本地招生录取。</w:t>
      </w:r>
    </w:p>
    <w:p>
      <w:pPr>
        <w:spacing w:line="570" w:lineRule="exact"/>
        <w:ind w:firstLine="640"/>
        <w:rPr>
          <w:rFonts w:eastAsia="仿宋_GB2312"/>
          <w:sz w:val="32"/>
          <w:szCs w:val="32"/>
        </w:rPr>
      </w:pPr>
      <w:r>
        <w:rPr>
          <w:rFonts w:hint="eastAsia" w:eastAsia="仿宋_GB2312"/>
          <w:sz w:val="32"/>
          <w:szCs w:val="32"/>
        </w:rPr>
        <w:t>面向全省招生录取工作安排如下：</w:t>
      </w:r>
    </w:p>
    <w:p>
      <w:pPr>
        <w:adjustRightInd w:val="0"/>
        <w:snapToGrid w:val="0"/>
        <w:spacing w:line="570" w:lineRule="exact"/>
        <w:ind w:firstLine="640" w:firstLineChars="200"/>
        <w:rPr>
          <w:rFonts w:eastAsia="仿宋_GB2312"/>
          <w:sz w:val="32"/>
          <w:szCs w:val="32"/>
        </w:rPr>
      </w:pPr>
      <w:r>
        <w:rPr>
          <w:rFonts w:hint="eastAsia" w:eastAsia="仿宋_GB2312"/>
          <w:sz w:val="32"/>
          <w:szCs w:val="32"/>
        </w:rPr>
        <w:t>第一批次：空军航空实验班、海军航空实验班，录取时间安排在</w:t>
      </w:r>
      <w:r>
        <w:rPr>
          <w:rFonts w:eastAsia="仿宋_GB2312"/>
          <w:sz w:val="32"/>
          <w:szCs w:val="32"/>
        </w:rPr>
        <w:t>7</w:t>
      </w:r>
      <w:r>
        <w:rPr>
          <w:rFonts w:hint="eastAsia" w:eastAsia="仿宋_GB2312"/>
          <w:sz w:val="32"/>
          <w:szCs w:val="32"/>
        </w:rPr>
        <w:t>月</w:t>
      </w:r>
      <w:r>
        <w:rPr>
          <w:rFonts w:eastAsia="仿宋_GB2312"/>
          <w:sz w:val="32"/>
          <w:szCs w:val="32"/>
        </w:rPr>
        <w:t>11</w:t>
      </w:r>
      <w:r>
        <w:rPr>
          <w:rFonts w:hint="eastAsia" w:eastAsia="仿宋_GB2312"/>
          <w:sz w:val="32"/>
          <w:szCs w:val="32"/>
        </w:rPr>
        <w:t>日；</w:t>
      </w:r>
    </w:p>
    <w:p>
      <w:pPr>
        <w:adjustRightInd w:val="0"/>
        <w:snapToGrid w:val="0"/>
        <w:spacing w:line="570" w:lineRule="exact"/>
        <w:ind w:firstLine="640" w:firstLineChars="200"/>
        <w:rPr>
          <w:rFonts w:eastAsia="仿宋_GB2312"/>
          <w:kern w:val="0"/>
          <w:sz w:val="32"/>
          <w:szCs w:val="32"/>
        </w:rPr>
      </w:pPr>
      <w:r>
        <w:rPr>
          <w:rFonts w:hint="eastAsia" w:eastAsia="仿宋_GB2312"/>
          <w:sz w:val="32"/>
          <w:szCs w:val="32"/>
        </w:rPr>
        <w:t>第</w:t>
      </w:r>
      <w:r>
        <w:rPr>
          <w:rFonts w:hint="eastAsia" w:eastAsia="仿宋_GB2312"/>
          <w:kern w:val="0"/>
          <w:sz w:val="32"/>
          <w:szCs w:val="32"/>
        </w:rPr>
        <w:t>二批</w:t>
      </w:r>
      <w:r>
        <w:rPr>
          <w:rFonts w:hint="eastAsia" w:eastAsia="仿宋_GB2312"/>
          <w:sz w:val="32"/>
          <w:szCs w:val="32"/>
        </w:rPr>
        <w:t>次：宏志班、理科</w:t>
      </w:r>
      <w:r>
        <w:rPr>
          <w:rFonts w:hint="eastAsia" w:eastAsia="仿宋_GB2312"/>
          <w:kern w:val="0"/>
          <w:sz w:val="32"/>
          <w:szCs w:val="32"/>
        </w:rPr>
        <w:t>实验班、校园足球实验班、河南省体育中学，录取时间安排在</w:t>
      </w:r>
      <w:r>
        <w:rPr>
          <w:rFonts w:eastAsia="仿宋_GB2312"/>
          <w:kern w:val="0"/>
          <w:sz w:val="32"/>
          <w:szCs w:val="32"/>
        </w:rPr>
        <w:t>7</w:t>
      </w:r>
      <w:r>
        <w:rPr>
          <w:rFonts w:hint="eastAsia" w:eastAsia="仿宋_GB2312"/>
          <w:kern w:val="0"/>
          <w:sz w:val="32"/>
          <w:szCs w:val="32"/>
        </w:rPr>
        <w:t>月</w:t>
      </w:r>
      <w:r>
        <w:rPr>
          <w:rFonts w:eastAsia="仿宋_GB2312"/>
          <w:kern w:val="0"/>
          <w:sz w:val="32"/>
          <w:szCs w:val="32"/>
        </w:rPr>
        <w:t>12</w:t>
      </w:r>
      <w:r>
        <w:rPr>
          <w:rFonts w:hint="eastAsia" w:eastAsia="仿宋_GB2312"/>
          <w:kern w:val="0"/>
          <w:sz w:val="32"/>
          <w:szCs w:val="32"/>
        </w:rPr>
        <w:t>日。</w:t>
      </w:r>
    </w:p>
    <w:p>
      <w:pPr>
        <w:adjustRightInd w:val="0"/>
        <w:snapToGrid w:val="0"/>
        <w:spacing w:line="570" w:lineRule="exact"/>
        <w:ind w:firstLine="640" w:firstLineChars="200"/>
        <w:rPr>
          <w:rFonts w:eastAsia="仿宋_GB2312"/>
          <w:kern w:val="0"/>
          <w:sz w:val="32"/>
          <w:szCs w:val="32"/>
        </w:rPr>
      </w:pPr>
      <w:r>
        <w:rPr>
          <w:rFonts w:hint="eastAsia" w:eastAsia="仿宋_GB2312"/>
          <w:kern w:val="0"/>
          <w:sz w:val="32"/>
          <w:szCs w:val="32"/>
        </w:rPr>
        <w:t>符合报考条件的考生可自主填报以上两个批次志愿，每个批次限报一个志愿。</w:t>
      </w:r>
    </w:p>
    <w:p>
      <w:pPr>
        <w:adjustRightInd w:val="0"/>
        <w:snapToGrid w:val="0"/>
        <w:spacing w:line="570" w:lineRule="exact"/>
        <w:ind w:firstLine="640" w:firstLineChars="200"/>
        <w:rPr>
          <w:rFonts w:eastAsia="仿宋_GB2312"/>
          <w:kern w:val="0"/>
          <w:sz w:val="32"/>
          <w:szCs w:val="32"/>
        </w:rPr>
      </w:pPr>
      <w:r>
        <w:rPr>
          <w:rFonts w:hint="eastAsia" w:eastAsia="仿宋_GB2312"/>
          <w:kern w:val="0"/>
          <w:sz w:val="32"/>
          <w:szCs w:val="32"/>
        </w:rPr>
        <w:t>规范面向本地招生录取工作。本地招生录取时间为：</w:t>
      </w:r>
      <w:r>
        <w:rPr>
          <w:rFonts w:eastAsia="仿宋_GB2312"/>
          <w:kern w:val="0"/>
          <w:sz w:val="32"/>
          <w:szCs w:val="32"/>
        </w:rPr>
        <w:t>7</w:t>
      </w:r>
      <w:r>
        <w:rPr>
          <w:rFonts w:hint="eastAsia" w:eastAsia="仿宋_GB2312"/>
          <w:kern w:val="0"/>
          <w:sz w:val="32"/>
          <w:szCs w:val="32"/>
        </w:rPr>
        <w:t>月</w:t>
      </w:r>
      <w:r>
        <w:rPr>
          <w:rFonts w:eastAsia="仿宋_GB2312"/>
          <w:kern w:val="0"/>
          <w:sz w:val="32"/>
          <w:szCs w:val="32"/>
        </w:rPr>
        <w:t>16</w:t>
      </w:r>
      <w:r>
        <w:rPr>
          <w:rFonts w:hint="eastAsia" w:eastAsia="仿宋_GB2312"/>
          <w:kern w:val="0"/>
          <w:sz w:val="32"/>
          <w:szCs w:val="32"/>
        </w:rPr>
        <w:t>日</w:t>
      </w:r>
      <w:r>
        <w:rPr>
          <w:rFonts w:eastAsia="仿宋_GB2312"/>
          <w:kern w:val="0"/>
          <w:sz w:val="32"/>
          <w:szCs w:val="32"/>
        </w:rPr>
        <w:t>—7</w:t>
      </w:r>
      <w:r>
        <w:rPr>
          <w:rFonts w:hint="eastAsia" w:eastAsia="仿宋_GB2312"/>
          <w:kern w:val="0"/>
          <w:sz w:val="32"/>
          <w:szCs w:val="32"/>
        </w:rPr>
        <w:t>月</w:t>
      </w:r>
      <w:r>
        <w:rPr>
          <w:rFonts w:eastAsia="仿宋_GB2312"/>
          <w:kern w:val="0"/>
          <w:sz w:val="32"/>
          <w:szCs w:val="32"/>
        </w:rPr>
        <w:t>30</w:t>
      </w:r>
      <w:r>
        <w:rPr>
          <w:rFonts w:hint="eastAsia" w:eastAsia="仿宋_GB2312"/>
          <w:kern w:val="0"/>
          <w:sz w:val="32"/>
          <w:szCs w:val="32"/>
        </w:rPr>
        <w:t>日。具体录取时间另行通知。录取结束后，考生可登录省中招平台查询录取结果。</w:t>
      </w:r>
    </w:p>
    <w:p>
      <w:pPr>
        <w:adjustRightInd w:val="0"/>
        <w:snapToGrid w:val="0"/>
        <w:spacing w:line="570" w:lineRule="exact"/>
        <w:ind w:firstLine="630" w:firstLineChars="196"/>
        <w:rPr>
          <w:rFonts w:eastAsia="仿宋_GB2312"/>
          <w:kern w:val="0"/>
          <w:sz w:val="32"/>
          <w:szCs w:val="32"/>
        </w:rPr>
      </w:pPr>
      <w:r>
        <w:rPr>
          <w:rFonts w:eastAsia="仿宋_GB2312"/>
          <w:b/>
          <w:sz w:val="32"/>
          <w:szCs w:val="32"/>
        </w:rPr>
        <w:t>2.</w:t>
      </w:r>
      <w:r>
        <w:rPr>
          <w:rFonts w:hint="eastAsia" w:hAnsi="仿宋_GB2312" w:eastAsia="仿宋_GB2312"/>
          <w:b/>
          <w:sz w:val="32"/>
          <w:szCs w:val="32"/>
        </w:rPr>
        <w:t>普通中专（</w:t>
      </w:r>
      <w:r>
        <w:rPr>
          <w:rFonts w:eastAsia="仿宋_GB2312"/>
          <w:b/>
          <w:sz w:val="32"/>
          <w:szCs w:val="32"/>
        </w:rPr>
        <w:t>“</w:t>
      </w:r>
      <w:r>
        <w:rPr>
          <w:rFonts w:hint="eastAsia" w:hAnsi="仿宋_GB2312" w:eastAsia="仿宋_GB2312"/>
          <w:b/>
          <w:sz w:val="32"/>
          <w:szCs w:val="32"/>
        </w:rPr>
        <w:t>五年制</w:t>
      </w:r>
      <w:r>
        <w:rPr>
          <w:rFonts w:eastAsia="仿宋_GB2312"/>
          <w:b/>
          <w:sz w:val="32"/>
          <w:szCs w:val="32"/>
        </w:rPr>
        <w:t>”</w:t>
      </w:r>
      <w:r>
        <w:rPr>
          <w:rFonts w:hint="eastAsia" w:hAnsi="仿宋_GB2312" w:eastAsia="仿宋_GB2312"/>
          <w:b/>
          <w:sz w:val="32"/>
          <w:szCs w:val="32"/>
        </w:rPr>
        <w:t>和</w:t>
      </w:r>
      <w:r>
        <w:rPr>
          <w:rFonts w:eastAsia="仿宋_GB2312"/>
          <w:b/>
          <w:sz w:val="32"/>
          <w:szCs w:val="32"/>
        </w:rPr>
        <w:t>“3+2”</w:t>
      </w:r>
      <w:r>
        <w:rPr>
          <w:rFonts w:hint="eastAsia" w:hAnsi="仿宋_GB2312" w:eastAsia="仿宋_GB2312"/>
          <w:b/>
          <w:sz w:val="32"/>
          <w:szCs w:val="32"/>
        </w:rPr>
        <w:t>）</w:t>
      </w:r>
    </w:p>
    <w:p>
      <w:pPr>
        <w:spacing w:line="570" w:lineRule="exact"/>
        <w:ind w:firstLine="640" w:firstLineChars="200"/>
        <w:rPr>
          <w:rFonts w:eastAsia="仿宋_GB2312"/>
          <w:sz w:val="32"/>
          <w:szCs w:val="32"/>
        </w:rPr>
      </w:pPr>
      <w:r>
        <w:rPr>
          <w:rFonts w:hint="eastAsia" w:eastAsia="仿宋_GB2312"/>
          <w:sz w:val="32"/>
          <w:szCs w:val="32"/>
        </w:rPr>
        <w:t>普通中专录取工作贯彻公平、公正、公开原则，根据考生志愿和成绩从高分到低分录取。</w:t>
      </w:r>
      <w:r>
        <w:rPr>
          <w:rFonts w:eastAsia="仿宋_GB2312"/>
          <w:sz w:val="32"/>
          <w:szCs w:val="32"/>
        </w:rPr>
        <w:t>“</w:t>
      </w:r>
      <w:r>
        <w:rPr>
          <w:rFonts w:hint="eastAsia" w:eastAsia="仿宋_GB2312"/>
          <w:sz w:val="32"/>
          <w:szCs w:val="32"/>
        </w:rPr>
        <w:t>五</w:t>
      </w:r>
      <w:r>
        <w:rPr>
          <w:rFonts w:hint="eastAsia" w:hAnsi="仿宋_GB2312" w:eastAsia="仿宋_GB2312"/>
          <w:sz w:val="32"/>
          <w:szCs w:val="32"/>
        </w:rPr>
        <w:t>年制</w:t>
      </w:r>
      <w:r>
        <w:rPr>
          <w:rFonts w:eastAsia="仿宋_GB2312"/>
          <w:sz w:val="32"/>
          <w:szCs w:val="32"/>
        </w:rPr>
        <w:t>”</w:t>
      </w:r>
      <w:r>
        <w:rPr>
          <w:rFonts w:hint="eastAsia" w:hAnsi="仿宋_GB2312" w:eastAsia="仿宋_GB2312"/>
          <w:sz w:val="32"/>
          <w:szCs w:val="32"/>
        </w:rPr>
        <w:t>和</w:t>
      </w:r>
      <w:r>
        <w:rPr>
          <w:rFonts w:eastAsia="仿宋_GB2312"/>
          <w:sz w:val="32"/>
          <w:szCs w:val="32"/>
        </w:rPr>
        <w:t>“3+2”</w:t>
      </w:r>
      <w:r>
        <w:rPr>
          <w:rFonts w:hint="eastAsia" w:hAnsi="仿宋_GB2312" w:eastAsia="仿宋_GB2312"/>
          <w:sz w:val="32"/>
          <w:szCs w:val="32"/>
        </w:rPr>
        <w:t>招生，优先从参加</w:t>
      </w:r>
      <w:r>
        <w:rPr>
          <w:rFonts w:eastAsia="仿宋_GB2312"/>
          <w:sz w:val="32"/>
          <w:szCs w:val="32"/>
        </w:rPr>
        <w:t>2021</w:t>
      </w:r>
      <w:r>
        <w:rPr>
          <w:rFonts w:hint="eastAsia" w:hAnsi="仿宋_GB2312" w:eastAsia="仿宋_GB2312"/>
          <w:sz w:val="32"/>
          <w:szCs w:val="32"/>
        </w:rPr>
        <w:t>年中招考试并达到分数要求且报有普通中专志愿的考生中择优录取。小中专学校优先录取参加</w:t>
      </w:r>
      <w:r>
        <w:rPr>
          <w:rFonts w:eastAsia="仿宋_GB2312"/>
          <w:sz w:val="32"/>
          <w:szCs w:val="32"/>
        </w:rPr>
        <w:t>2021</w:t>
      </w:r>
      <w:r>
        <w:rPr>
          <w:rFonts w:hint="eastAsia" w:hAnsi="仿宋_GB2312" w:eastAsia="仿宋_GB2312"/>
          <w:sz w:val="32"/>
          <w:szCs w:val="32"/>
        </w:rPr>
        <w:t>年中招考试并报有普通中专志愿的考生，在生源不足的情况下</w:t>
      </w:r>
      <w:r>
        <w:rPr>
          <w:rFonts w:hint="eastAsia" w:eastAsia="仿宋_GB2312"/>
          <w:sz w:val="32"/>
          <w:szCs w:val="32"/>
        </w:rPr>
        <w:t>可接收报考其他高级中等学校的考生或凭初中毕业证录取新生，但要严格审验新生报名条件中涉及年龄、学历、户籍、成绩等信息。外省籍考生须提供在豫流动人口居住证。</w:t>
      </w:r>
    </w:p>
    <w:p>
      <w:pPr>
        <w:spacing w:line="570" w:lineRule="exact"/>
        <w:ind w:firstLine="640" w:firstLineChars="200"/>
        <w:rPr>
          <w:rFonts w:eastAsia="仿宋_GB2312"/>
          <w:sz w:val="32"/>
          <w:szCs w:val="32"/>
        </w:rPr>
      </w:pPr>
      <w:r>
        <w:rPr>
          <w:rFonts w:hint="eastAsia" w:eastAsia="仿宋_GB2312"/>
          <w:sz w:val="32"/>
          <w:szCs w:val="32"/>
        </w:rPr>
        <w:t>录取工作统一在</w:t>
      </w:r>
      <w:r>
        <w:rPr>
          <w:rFonts w:eastAsia="仿宋_GB2312"/>
          <w:sz w:val="32"/>
          <w:szCs w:val="32"/>
        </w:rPr>
        <w:t>“</w:t>
      </w:r>
      <w:r>
        <w:rPr>
          <w:rFonts w:hint="eastAsia" w:eastAsia="仿宋_GB2312"/>
          <w:sz w:val="32"/>
          <w:szCs w:val="32"/>
        </w:rPr>
        <w:t>河南省普通中等专业学校招生服务平台</w:t>
      </w:r>
      <w:r>
        <w:rPr>
          <w:rFonts w:eastAsia="仿宋_GB2312"/>
          <w:sz w:val="32"/>
          <w:szCs w:val="32"/>
        </w:rPr>
        <w:t>”</w:t>
      </w:r>
      <w:r>
        <w:rPr>
          <w:rFonts w:hint="eastAsia" w:eastAsia="仿宋_GB2312"/>
          <w:sz w:val="32"/>
          <w:szCs w:val="32"/>
        </w:rPr>
        <w:t>上进行。录取新生通知书由招生学校发放，被录取新生须持二代身份证到校报到。新生到校报到后，招生学校要认真核对学生信息，及时采集新生基本信息上传至</w:t>
      </w:r>
      <w:r>
        <w:rPr>
          <w:rFonts w:eastAsia="仿宋_GB2312"/>
          <w:sz w:val="32"/>
          <w:szCs w:val="32"/>
        </w:rPr>
        <w:t>“</w:t>
      </w:r>
      <w:r>
        <w:rPr>
          <w:rFonts w:hint="eastAsia" w:eastAsia="仿宋_GB2312"/>
          <w:sz w:val="32"/>
          <w:szCs w:val="32"/>
        </w:rPr>
        <w:t>河南省普通中等专业学校招生服务平台</w:t>
      </w:r>
      <w:r>
        <w:rPr>
          <w:rFonts w:eastAsia="仿宋_GB2312"/>
          <w:sz w:val="32"/>
          <w:szCs w:val="32"/>
        </w:rPr>
        <w:t>”</w:t>
      </w:r>
      <w:r>
        <w:rPr>
          <w:rFonts w:hint="eastAsia" w:eastAsia="仿宋_GB2312"/>
          <w:sz w:val="32"/>
          <w:szCs w:val="32"/>
        </w:rPr>
        <w:t>，由省招办集中办理录取审批手续。招生学校要及时为新生建立学籍档案。</w:t>
      </w:r>
    </w:p>
    <w:p>
      <w:pPr>
        <w:spacing w:line="570" w:lineRule="exact"/>
        <w:ind w:firstLine="640" w:firstLineChars="200"/>
        <w:rPr>
          <w:rFonts w:eastAsia="仿宋_GB2312"/>
          <w:sz w:val="32"/>
          <w:szCs w:val="32"/>
        </w:rPr>
      </w:pPr>
      <w:r>
        <w:rPr>
          <w:rFonts w:hint="eastAsia" w:eastAsia="仿宋_GB2312"/>
          <w:sz w:val="32"/>
          <w:szCs w:val="32"/>
        </w:rPr>
        <w:t>按照豫教财字〔</w:t>
      </w:r>
      <w:r>
        <w:rPr>
          <w:rFonts w:eastAsia="仿宋_GB2312"/>
          <w:sz w:val="32"/>
          <w:szCs w:val="32"/>
        </w:rPr>
        <w:t>1998</w:t>
      </w:r>
      <w:r>
        <w:rPr>
          <w:rFonts w:hint="eastAsia" w:eastAsia="仿宋_GB2312"/>
          <w:sz w:val="32"/>
          <w:szCs w:val="32"/>
        </w:rPr>
        <w:t>〕</w:t>
      </w:r>
      <w:r>
        <w:rPr>
          <w:rFonts w:eastAsia="仿宋_GB2312"/>
          <w:sz w:val="32"/>
          <w:szCs w:val="32"/>
        </w:rPr>
        <w:t>102</w:t>
      </w:r>
      <w:r>
        <w:rPr>
          <w:rFonts w:hint="eastAsia" w:eastAsia="仿宋_GB2312"/>
          <w:sz w:val="32"/>
          <w:szCs w:val="32"/>
        </w:rPr>
        <w:t>号文件规定，普通中专招生学校按</w:t>
      </w:r>
      <w:r>
        <w:rPr>
          <w:rFonts w:eastAsia="仿宋_GB2312"/>
          <w:sz w:val="32"/>
          <w:szCs w:val="32"/>
        </w:rPr>
        <w:t>50</w:t>
      </w:r>
      <w:r>
        <w:rPr>
          <w:rFonts w:hint="eastAsia" w:eastAsia="仿宋_GB2312"/>
          <w:sz w:val="32"/>
          <w:szCs w:val="32"/>
        </w:rPr>
        <w:t>元</w:t>
      </w:r>
      <w:r>
        <w:rPr>
          <w:rFonts w:eastAsia="仿宋_GB2312"/>
          <w:sz w:val="32"/>
          <w:szCs w:val="32"/>
        </w:rPr>
        <w:t>/</w:t>
      </w:r>
      <w:r>
        <w:rPr>
          <w:rFonts w:hint="eastAsia" w:eastAsia="仿宋_GB2312"/>
          <w:sz w:val="32"/>
          <w:szCs w:val="32"/>
        </w:rPr>
        <w:t>生标准缴纳招生费。</w:t>
      </w:r>
      <w:r>
        <w:rPr>
          <w:rFonts w:eastAsia="仿宋_GB2312"/>
          <w:sz w:val="32"/>
          <w:szCs w:val="32"/>
        </w:rPr>
        <w:t>“</w:t>
      </w:r>
      <w:r>
        <w:rPr>
          <w:rFonts w:hint="eastAsia" w:eastAsia="仿宋_GB2312"/>
          <w:sz w:val="32"/>
          <w:szCs w:val="32"/>
        </w:rPr>
        <w:t>五年制</w:t>
      </w:r>
      <w:r>
        <w:rPr>
          <w:rFonts w:eastAsia="仿宋_GB2312"/>
          <w:sz w:val="32"/>
          <w:szCs w:val="32"/>
        </w:rPr>
        <w:t>”</w:t>
      </w:r>
      <w:r>
        <w:rPr>
          <w:rFonts w:hint="eastAsia" w:eastAsia="仿宋_GB2312"/>
          <w:sz w:val="32"/>
          <w:szCs w:val="32"/>
        </w:rPr>
        <w:t>、</w:t>
      </w:r>
      <w:r>
        <w:rPr>
          <w:rFonts w:eastAsia="仿宋_GB2312"/>
          <w:sz w:val="32"/>
          <w:szCs w:val="32"/>
        </w:rPr>
        <w:t>“3+2”</w:t>
      </w:r>
      <w:r>
        <w:rPr>
          <w:rFonts w:hint="eastAsia" w:eastAsia="仿宋_GB2312"/>
          <w:sz w:val="32"/>
          <w:szCs w:val="32"/>
        </w:rPr>
        <w:t>和省属学校的大（小）中专招生费交到省招生办公室。市属学校的大（小）中专招生费由生源所在地市招生部门收取。按照豫财办综〔</w:t>
      </w:r>
      <w:r>
        <w:rPr>
          <w:rFonts w:eastAsia="仿宋_GB2312"/>
          <w:sz w:val="32"/>
          <w:szCs w:val="32"/>
        </w:rPr>
        <w:t>2005</w:t>
      </w:r>
      <w:r>
        <w:rPr>
          <w:rFonts w:hint="eastAsia" w:eastAsia="仿宋_GB2312"/>
          <w:sz w:val="32"/>
          <w:szCs w:val="32"/>
        </w:rPr>
        <w:t>〕</w:t>
      </w:r>
      <w:r>
        <w:rPr>
          <w:rFonts w:eastAsia="仿宋_GB2312"/>
          <w:sz w:val="32"/>
          <w:szCs w:val="32"/>
        </w:rPr>
        <w:t>50</w:t>
      </w:r>
      <w:r>
        <w:rPr>
          <w:rFonts w:hint="eastAsia" w:eastAsia="仿宋_GB2312"/>
          <w:sz w:val="32"/>
          <w:szCs w:val="32"/>
        </w:rPr>
        <w:t>号文件规定，</w:t>
      </w:r>
      <w:r>
        <w:rPr>
          <w:rFonts w:eastAsia="仿宋_GB2312"/>
          <w:sz w:val="32"/>
          <w:szCs w:val="32"/>
        </w:rPr>
        <w:t>“</w:t>
      </w:r>
      <w:r>
        <w:rPr>
          <w:rFonts w:hint="eastAsia" w:eastAsia="仿宋_GB2312"/>
          <w:sz w:val="32"/>
          <w:szCs w:val="32"/>
        </w:rPr>
        <w:t>五年制</w:t>
      </w:r>
      <w:r>
        <w:rPr>
          <w:rFonts w:eastAsia="仿宋_GB2312"/>
          <w:sz w:val="32"/>
          <w:szCs w:val="32"/>
        </w:rPr>
        <w:t>”</w:t>
      </w:r>
      <w:r>
        <w:rPr>
          <w:rFonts w:hint="eastAsia" w:eastAsia="仿宋_GB2312"/>
          <w:sz w:val="32"/>
          <w:szCs w:val="32"/>
        </w:rPr>
        <w:t>、</w:t>
      </w:r>
      <w:r>
        <w:rPr>
          <w:rFonts w:eastAsia="仿宋_GB2312"/>
          <w:sz w:val="32"/>
          <w:szCs w:val="32"/>
        </w:rPr>
        <w:t>“3+2”</w:t>
      </w:r>
      <w:r>
        <w:rPr>
          <w:rFonts w:hint="eastAsia" w:eastAsia="仿宋_GB2312"/>
          <w:sz w:val="32"/>
          <w:szCs w:val="32"/>
        </w:rPr>
        <w:t>升转段学生按</w:t>
      </w:r>
      <w:r>
        <w:rPr>
          <w:rFonts w:eastAsia="仿宋_GB2312"/>
          <w:sz w:val="32"/>
          <w:szCs w:val="32"/>
        </w:rPr>
        <w:t>30</w:t>
      </w:r>
      <w:r>
        <w:rPr>
          <w:rFonts w:hint="eastAsia" w:eastAsia="仿宋_GB2312"/>
          <w:sz w:val="32"/>
          <w:szCs w:val="32"/>
        </w:rPr>
        <w:t>元</w:t>
      </w:r>
      <w:r>
        <w:rPr>
          <w:rFonts w:eastAsia="仿宋_GB2312"/>
          <w:sz w:val="32"/>
          <w:szCs w:val="32"/>
        </w:rPr>
        <w:t>/</w:t>
      </w:r>
      <w:r>
        <w:rPr>
          <w:rFonts w:hint="eastAsia" w:eastAsia="仿宋_GB2312"/>
          <w:sz w:val="32"/>
          <w:szCs w:val="32"/>
        </w:rPr>
        <w:t>生标准向省招生办公室缴纳招生网上录取费。</w:t>
      </w:r>
    </w:p>
    <w:p>
      <w:pPr>
        <w:spacing w:line="570" w:lineRule="exact"/>
        <w:ind w:firstLine="643" w:firstLineChars="200"/>
        <w:rPr>
          <w:rFonts w:eastAsia="仿宋_GB2312"/>
          <w:b/>
          <w:sz w:val="32"/>
          <w:szCs w:val="32"/>
        </w:rPr>
      </w:pPr>
      <w:r>
        <w:rPr>
          <w:rFonts w:eastAsia="仿宋_GB2312"/>
          <w:b/>
          <w:sz w:val="32"/>
          <w:szCs w:val="32"/>
        </w:rPr>
        <w:t>3.</w:t>
      </w:r>
      <w:r>
        <w:rPr>
          <w:rFonts w:hint="eastAsia" w:hAnsi="仿宋_GB2312" w:eastAsia="仿宋_GB2312"/>
          <w:b/>
          <w:sz w:val="32"/>
          <w:szCs w:val="32"/>
        </w:rPr>
        <w:t>中等职业学校</w:t>
      </w:r>
    </w:p>
    <w:p>
      <w:pPr>
        <w:adjustRightInd w:val="0"/>
        <w:snapToGrid w:val="0"/>
        <w:spacing w:line="570" w:lineRule="exact"/>
        <w:ind w:firstLine="640" w:firstLineChars="200"/>
        <w:rPr>
          <w:rFonts w:eastAsia="仿宋_GB2312"/>
          <w:sz w:val="32"/>
          <w:szCs w:val="32"/>
        </w:rPr>
      </w:pPr>
      <w:r>
        <w:rPr>
          <w:rFonts w:hint="eastAsia" w:eastAsia="仿宋_GB2312"/>
          <w:sz w:val="32"/>
          <w:szCs w:val="32"/>
        </w:rPr>
        <w:t>中等职业学校学生的录取由学校负责，学校在每年的</w:t>
      </w:r>
      <w:r>
        <w:rPr>
          <w:rFonts w:eastAsia="仿宋_GB2312"/>
          <w:sz w:val="32"/>
          <w:szCs w:val="32"/>
        </w:rPr>
        <w:t>8</w:t>
      </w:r>
      <w:r>
        <w:rPr>
          <w:rFonts w:hint="eastAsia" w:eastAsia="仿宋_GB2312"/>
          <w:sz w:val="32"/>
          <w:szCs w:val="32"/>
        </w:rPr>
        <w:t>月</w:t>
      </w:r>
      <w:r>
        <w:rPr>
          <w:rFonts w:eastAsia="仿宋_GB2312"/>
          <w:sz w:val="32"/>
          <w:szCs w:val="32"/>
        </w:rPr>
        <w:t>1</w:t>
      </w:r>
      <w:r>
        <w:rPr>
          <w:rFonts w:hint="eastAsia" w:eastAsia="仿宋_GB2312"/>
          <w:sz w:val="32"/>
          <w:szCs w:val="32"/>
        </w:rPr>
        <w:t>日至</w:t>
      </w:r>
      <w:r>
        <w:rPr>
          <w:rFonts w:eastAsia="仿宋_GB2312"/>
          <w:sz w:val="32"/>
          <w:szCs w:val="32"/>
        </w:rPr>
        <w:t>11</w:t>
      </w:r>
      <w:r>
        <w:rPr>
          <w:rFonts w:hint="eastAsia" w:eastAsia="仿宋_GB2312"/>
          <w:sz w:val="32"/>
          <w:szCs w:val="32"/>
        </w:rPr>
        <w:t>月</w:t>
      </w:r>
      <w:r>
        <w:rPr>
          <w:rFonts w:eastAsia="仿宋_GB2312"/>
          <w:sz w:val="32"/>
          <w:szCs w:val="32"/>
        </w:rPr>
        <w:t>20</w:t>
      </w:r>
      <w:r>
        <w:rPr>
          <w:rFonts w:hint="eastAsia" w:eastAsia="仿宋_GB2312"/>
          <w:sz w:val="32"/>
          <w:szCs w:val="32"/>
        </w:rPr>
        <w:t>日将招收学生信息录入全国中等职业学校学生管理系统，生成学籍。并于当年</w:t>
      </w:r>
      <w:r>
        <w:rPr>
          <w:rFonts w:eastAsia="仿宋_GB2312"/>
          <w:sz w:val="32"/>
          <w:szCs w:val="32"/>
        </w:rPr>
        <w:t>12</w:t>
      </w:r>
      <w:r>
        <w:rPr>
          <w:rFonts w:hint="eastAsia" w:eastAsia="仿宋_GB2312"/>
          <w:sz w:val="32"/>
          <w:szCs w:val="32"/>
        </w:rPr>
        <w:t>月</w:t>
      </w:r>
      <w:r>
        <w:rPr>
          <w:rFonts w:eastAsia="仿宋_GB2312"/>
          <w:sz w:val="32"/>
          <w:szCs w:val="32"/>
        </w:rPr>
        <w:t>20</w:t>
      </w:r>
      <w:r>
        <w:rPr>
          <w:rFonts w:hint="eastAsia" w:eastAsia="仿宋_GB2312"/>
          <w:sz w:val="32"/>
          <w:szCs w:val="32"/>
        </w:rPr>
        <w:t>日前将生成的学籍在河南省中等职业教育学籍信息备案系统中进行备案。</w:t>
      </w:r>
      <w:r>
        <w:rPr>
          <w:rFonts w:eastAsia="仿宋_GB2312"/>
          <w:sz w:val="32"/>
          <w:szCs w:val="32"/>
        </w:rPr>
        <w:t xml:space="preserve">    </w:t>
      </w:r>
    </w:p>
    <w:p>
      <w:pPr>
        <w:adjustRightInd w:val="0"/>
        <w:snapToGrid w:val="0"/>
        <w:spacing w:line="570" w:lineRule="exact"/>
        <w:ind w:firstLine="640" w:firstLineChars="200"/>
        <w:rPr>
          <w:rFonts w:eastAsia="黑体"/>
          <w:sz w:val="32"/>
          <w:szCs w:val="32"/>
        </w:rPr>
      </w:pPr>
      <w:r>
        <w:rPr>
          <w:rFonts w:hint="eastAsia" w:eastAsia="黑体"/>
          <w:sz w:val="32"/>
          <w:szCs w:val="32"/>
        </w:rPr>
        <w:t>三、相关政策</w:t>
      </w:r>
    </w:p>
    <w:p>
      <w:pPr>
        <w:adjustRightInd w:val="0"/>
        <w:snapToGrid w:val="0"/>
        <w:spacing w:line="570" w:lineRule="exact"/>
        <w:rPr>
          <w:rFonts w:eastAsia="仿宋_GB2312"/>
          <w:sz w:val="32"/>
          <w:szCs w:val="32"/>
        </w:rPr>
      </w:pPr>
      <w:r>
        <w:rPr>
          <w:rFonts w:eastAsia="仿宋_GB2312"/>
          <w:sz w:val="32"/>
          <w:szCs w:val="32"/>
        </w:rPr>
        <w:t xml:space="preserve">    </w:t>
      </w:r>
      <w:r>
        <w:rPr>
          <w:rFonts w:hint="eastAsia" w:eastAsia="楷体_GB2312"/>
          <w:b/>
          <w:sz w:val="32"/>
          <w:szCs w:val="32"/>
        </w:rPr>
        <w:t>（一）不断完善指标分配制度。</w:t>
      </w:r>
      <w:r>
        <w:rPr>
          <w:rFonts w:hint="eastAsia" w:eastAsia="仿宋_GB2312"/>
          <w:sz w:val="32"/>
          <w:szCs w:val="32"/>
        </w:rPr>
        <w:t>按照省教育厅文件精神，逐步扩大优质普通高中招生计划均衡分配到各初中学校（含民办初中学校）的比例。分配生的比例要达到</w:t>
      </w:r>
      <w:r>
        <w:rPr>
          <w:rFonts w:eastAsia="仿宋_GB2312"/>
          <w:sz w:val="32"/>
          <w:szCs w:val="32"/>
        </w:rPr>
        <w:t>50%</w:t>
      </w:r>
      <w:r>
        <w:rPr>
          <w:rFonts w:hint="eastAsia" w:eastAsia="仿宋_GB2312"/>
          <w:sz w:val="32"/>
          <w:szCs w:val="32"/>
        </w:rPr>
        <w:t>以上，并逐步加大分配指标向薄弱初中和农村初中学校倾斜的力度，禁止跨区域分配指标。</w:t>
      </w:r>
    </w:p>
    <w:p>
      <w:pPr>
        <w:adjustRightInd w:val="0"/>
        <w:snapToGrid w:val="0"/>
        <w:spacing w:line="570" w:lineRule="exact"/>
        <w:ind w:firstLine="643" w:firstLineChars="200"/>
        <w:rPr>
          <w:rFonts w:eastAsia="仿宋_GB2312"/>
          <w:spacing w:val="-2"/>
          <w:kern w:val="0"/>
          <w:sz w:val="32"/>
          <w:szCs w:val="32"/>
        </w:rPr>
      </w:pPr>
      <w:r>
        <w:rPr>
          <w:rFonts w:hint="eastAsia" w:eastAsia="楷体_GB2312"/>
          <w:b/>
          <w:sz w:val="32"/>
          <w:szCs w:val="32"/>
        </w:rPr>
        <w:t>（二）坚持属地招生原则。</w:t>
      </w:r>
      <w:r>
        <w:rPr>
          <w:rFonts w:hint="eastAsia" w:eastAsia="仿宋_GB2312"/>
          <w:sz w:val="32"/>
          <w:szCs w:val="32"/>
        </w:rPr>
        <w:t>公办、民办普通高中原则上实行属地招生。地处县域的普通高中应在本县域内招生，地处省辖市市区的普通高中应在所在区或若干城区范围内招生。各县区、各校要严格按照规定的招生范围、招生计划、招</w:t>
      </w:r>
      <w:r>
        <w:rPr>
          <w:rFonts w:hint="eastAsia" w:eastAsia="仿宋_GB2312"/>
          <w:spacing w:val="-2"/>
          <w:kern w:val="0"/>
          <w:sz w:val="32"/>
          <w:szCs w:val="32"/>
        </w:rPr>
        <w:t>生时间、招生方式进行统一招生，严禁违规争抢生源、</w:t>
      </w:r>
      <w:r>
        <w:rPr>
          <w:rFonts w:eastAsia="仿宋_GB2312"/>
          <w:spacing w:val="-2"/>
          <w:kern w:val="0"/>
          <w:sz w:val="32"/>
          <w:szCs w:val="32"/>
        </w:rPr>
        <w:t>“</w:t>
      </w:r>
      <w:r>
        <w:rPr>
          <w:rFonts w:hint="eastAsia" w:eastAsia="仿宋_GB2312"/>
          <w:spacing w:val="-2"/>
          <w:kern w:val="0"/>
          <w:sz w:val="32"/>
          <w:szCs w:val="32"/>
        </w:rPr>
        <w:t>掐尖</w:t>
      </w:r>
      <w:r>
        <w:rPr>
          <w:rFonts w:eastAsia="仿宋_GB2312"/>
          <w:spacing w:val="-2"/>
          <w:kern w:val="0"/>
          <w:sz w:val="32"/>
          <w:szCs w:val="32"/>
        </w:rPr>
        <w:t>”</w:t>
      </w:r>
      <w:r>
        <w:rPr>
          <w:rFonts w:hint="eastAsia" w:eastAsia="仿宋_GB2312"/>
          <w:spacing w:val="-2"/>
          <w:kern w:val="0"/>
          <w:sz w:val="32"/>
          <w:szCs w:val="32"/>
        </w:rPr>
        <w:t>招生、跨区域招生、超计划招生和提前招生。市教育局将加强对各普通高中招生工作的监控和管理，对违规招生的学校，将追究主管教育行政部门和学校的责任。对违反规定、情节严重的省级示范性高中，省教育厅将撤销其省级示范性高中称号，其他普通高中根据隶属关系由主管教育行政部门给予处罚并报省教育厅备案。</w:t>
      </w:r>
    </w:p>
    <w:p>
      <w:pPr>
        <w:adjustRightInd w:val="0"/>
        <w:snapToGrid w:val="0"/>
        <w:spacing w:line="570" w:lineRule="exact"/>
        <w:ind w:firstLine="643" w:firstLineChars="200"/>
        <w:rPr>
          <w:rFonts w:eastAsia="仿宋_GB2312"/>
          <w:sz w:val="32"/>
          <w:szCs w:val="32"/>
        </w:rPr>
      </w:pPr>
      <w:r>
        <w:rPr>
          <w:rFonts w:hint="eastAsia" w:eastAsia="楷体_GB2312"/>
          <w:b/>
          <w:sz w:val="32"/>
          <w:szCs w:val="32"/>
        </w:rPr>
        <w:t>（三）严格规范公办普通高中招生。</w:t>
      </w:r>
      <w:r>
        <w:rPr>
          <w:rFonts w:hint="eastAsia" w:eastAsia="仿宋_GB2312"/>
          <w:sz w:val="32"/>
          <w:szCs w:val="32"/>
        </w:rPr>
        <w:t>空军航空实验班、海军航空实验班、宏志班、理科</w:t>
      </w:r>
      <w:r>
        <w:rPr>
          <w:rFonts w:hint="eastAsia" w:eastAsia="仿宋_GB2312"/>
          <w:kern w:val="0"/>
          <w:sz w:val="32"/>
          <w:szCs w:val="32"/>
        </w:rPr>
        <w:t>实验班、校园足球实验班、河南省体育中学等省提前批次招生工作</w:t>
      </w:r>
      <w:r>
        <w:rPr>
          <w:rFonts w:hint="eastAsia" w:eastAsia="仿宋_GB2312"/>
          <w:sz w:val="32"/>
          <w:szCs w:val="32"/>
        </w:rPr>
        <w:t>严格按照省教育厅相关要求执行。</w:t>
      </w:r>
    </w:p>
    <w:p>
      <w:pPr>
        <w:adjustRightInd w:val="0"/>
        <w:snapToGrid w:val="0"/>
        <w:spacing w:line="570" w:lineRule="exact"/>
        <w:rPr>
          <w:rFonts w:eastAsia="仿宋_GB2312"/>
          <w:sz w:val="32"/>
          <w:szCs w:val="32"/>
        </w:rPr>
      </w:pPr>
      <w:r>
        <w:rPr>
          <w:rFonts w:hint="eastAsia" w:eastAsia="仿宋_GB2312"/>
          <w:sz w:val="32"/>
          <w:szCs w:val="32"/>
        </w:rPr>
        <w:t>从今年起，国际班（中外合作办学项目和机构）主要面向本地招生，如面向本地未完成招生计划，可面向其他地市进行补录，但不得转为普通班招生计划，补录学生需经学校所在地和生源所在地教育行政部门同意，并报省教育厅备案。</w:t>
      </w:r>
    </w:p>
    <w:p>
      <w:pPr>
        <w:adjustRightInd w:val="0"/>
        <w:snapToGrid w:val="0"/>
        <w:spacing w:line="570" w:lineRule="exact"/>
        <w:ind w:firstLine="632" w:firstLineChars="200"/>
        <w:rPr>
          <w:rFonts w:eastAsia="仿宋_GB2312"/>
          <w:spacing w:val="-2"/>
          <w:kern w:val="0"/>
          <w:sz w:val="32"/>
          <w:szCs w:val="32"/>
        </w:rPr>
      </w:pPr>
      <w:r>
        <w:rPr>
          <w:rFonts w:hint="eastAsia" w:eastAsia="仿宋_GB2312"/>
          <w:spacing w:val="-2"/>
          <w:kern w:val="0"/>
          <w:sz w:val="32"/>
          <w:szCs w:val="32"/>
        </w:rPr>
        <w:t>各县区和市属高中要认真落实《漯河市消除普通高中大班额专项规划（</w:t>
      </w:r>
      <w:r>
        <w:rPr>
          <w:rFonts w:eastAsia="仿宋_GB2312"/>
          <w:spacing w:val="-2"/>
          <w:kern w:val="0"/>
          <w:sz w:val="32"/>
          <w:szCs w:val="32"/>
        </w:rPr>
        <w:t>2019—2021</w:t>
      </w:r>
      <w:r>
        <w:rPr>
          <w:rFonts w:hint="eastAsia" w:eastAsia="仿宋_GB2312"/>
          <w:spacing w:val="-2"/>
          <w:kern w:val="0"/>
          <w:sz w:val="32"/>
          <w:szCs w:val="32"/>
        </w:rPr>
        <w:t>年）》要求，加快新建、改扩建学校步伐，有效增加学位供给，坚决防止普通高中起始年级产生新的大班额。建立健全学生准入制度，严把转学入口关，已经达到大班额的学校或班级，原则上不得接收转学学生，坚决遏制借转学变相择校的行为，杜绝人为造成的大班额。</w:t>
      </w:r>
    </w:p>
    <w:p>
      <w:pPr>
        <w:adjustRightInd w:val="0"/>
        <w:snapToGrid w:val="0"/>
        <w:spacing w:line="570" w:lineRule="exact"/>
        <w:ind w:firstLine="643" w:firstLineChars="200"/>
        <w:rPr>
          <w:rFonts w:eastAsia="仿宋_GB2312"/>
          <w:sz w:val="32"/>
          <w:szCs w:val="32"/>
        </w:rPr>
      </w:pPr>
      <w:r>
        <w:rPr>
          <w:rFonts w:hint="eastAsia" w:eastAsia="楷体_GB2312"/>
          <w:b/>
          <w:sz w:val="32"/>
          <w:szCs w:val="32"/>
        </w:rPr>
        <w:t>（四）加强民办普通高中招生工作管理。</w:t>
      </w:r>
      <w:r>
        <w:rPr>
          <w:rFonts w:hint="eastAsia" w:eastAsia="仿宋_GB2312"/>
          <w:sz w:val="32"/>
          <w:szCs w:val="32"/>
        </w:rPr>
        <w:t>贯彻落实《教育部办公厅关于进一步加强普通高中招生管理工作的通知》</w:t>
      </w:r>
      <w:r>
        <w:rPr>
          <w:rFonts w:eastAsia="仿宋_GB2312"/>
          <w:sz w:val="32"/>
          <w:szCs w:val="32"/>
        </w:rPr>
        <w:t>(</w:t>
      </w:r>
      <w:r>
        <w:rPr>
          <w:rFonts w:hint="eastAsia" w:eastAsia="仿宋_GB2312"/>
          <w:sz w:val="32"/>
          <w:szCs w:val="32"/>
        </w:rPr>
        <w:t>教基厅〔</w:t>
      </w:r>
      <w:r>
        <w:rPr>
          <w:rFonts w:eastAsia="仿宋_GB2312"/>
          <w:sz w:val="32"/>
          <w:szCs w:val="32"/>
        </w:rPr>
        <w:t>2021</w:t>
      </w:r>
      <w:r>
        <w:rPr>
          <w:rFonts w:hint="eastAsia" w:eastAsia="仿宋_GB2312"/>
          <w:sz w:val="32"/>
          <w:szCs w:val="32"/>
        </w:rPr>
        <w:t>〕</w:t>
      </w:r>
      <w:r>
        <w:rPr>
          <w:rFonts w:eastAsia="仿宋_GB2312"/>
          <w:sz w:val="32"/>
          <w:szCs w:val="32"/>
        </w:rPr>
        <w:t>1</w:t>
      </w:r>
      <w:r>
        <w:rPr>
          <w:rFonts w:hint="eastAsia" w:eastAsia="仿宋_GB2312"/>
          <w:sz w:val="32"/>
          <w:szCs w:val="32"/>
        </w:rPr>
        <w:t>号</w:t>
      </w:r>
      <w:r>
        <w:rPr>
          <w:rFonts w:eastAsia="仿宋_GB2312"/>
          <w:sz w:val="32"/>
          <w:szCs w:val="32"/>
        </w:rPr>
        <w:t>)</w:t>
      </w:r>
      <w:r>
        <w:rPr>
          <w:rFonts w:hint="eastAsia" w:eastAsia="仿宋_GB2312"/>
          <w:sz w:val="32"/>
          <w:szCs w:val="32"/>
        </w:rPr>
        <w:t>精神，民办普通高中招生工作纳入所在地教育行政部门统一管理，招生范围应与所在地公办高中保持一致。生源不足的，可由市级教育行政部门在辖区范围内统筹调剂安排招生计划。</w:t>
      </w:r>
    </w:p>
    <w:p>
      <w:pPr>
        <w:adjustRightInd w:val="0"/>
        <w:snapToGrid w:val="0"/>
        <w:spacing w:line="570" w:lineRule="exact"/>
        <w:ind w:firstLine="640" w:firstLineChars="200"/>
        <w:rPr>
          <w:rFonts w:eastAsia="仿宋_GB2312"/>
          <w:sz w:val="32"/>
          <w:szCs w:val="32"/>
        </w:rPr>
      </w:pPr>
      <w:r>
        <w:rPr>
          <w:rFonts w:hint="eastAsia" w:eastAsia="仿宋_GB2312"/>
          <w:sz w:val="32"/>
          <w:szCs w:val="32"/>
        </w:rPr>
        <w:t>民办普通高中要认真执行国家和省市有关文件要求，严格按照当地招生政策进行招生宣传，自觉规范招生行为，不得超计划招生，不得自行录取无档案考生，不得录取学校所在地最低录取控制分数线以下的学生，不得在招生宣传中以高额物质奖励等不正当手段招揽生源。</w:t>
      </w:r>
    </w:p>
    <w:p>
      <w:pPr>
        <w:adjustRightInd w:val="0"/>
        <w:snapToGrid w:val="0"/>
        <w:spacing w:line="570" w:lineRule="exact"/>
        <w:ind w:firstLine="640" w:firstLineChars="200"/>
        <w:rPr>
          <w:rFonts w:eastAsia="仿宋_GB2312"/>
          <w:sz w:val="32"/>
          <w:szCs w:val="32"/>
        </w:rPr>
      </w:pPr>
      <w:r>
        <w:rPr>
          <w:rFonts w:hint="eastAsia" w:eastAsia="仿宋_GB2312"/>
          <w:sz w:val="32"/>
          <w:szCs w:val="32"/>
        </w:rPr>
        <w:t>各级教育行政部门要按照</w:t>
      </w:r>
      <w:r>
        <w:rPr>
          <w:rFonts w:eastAsia="仿宋_GB2312"/>
          <w:sz w:val="32"/>
          <w:szCs w:val="32"/>
        </w:rPr>
        <w:t>“</w:t>
      </w:r>
      <w:r>
        <w:rPr>
          <w:rFonts w:hint="eastAsia" w:eastAsia="仿宋_GB2312"/>
          <w:sz w:val="32"/>
          <w:szCs w:val="32"/>
        </w:rPr>
        <w:t>谁审批、谁主管、谁负责</w:t>
      </w:r>
      <w:r>
        <w:rPr>
          <w:rFonts w:eastAsia="仿宋_GB2312"/>
          <w:sz w:val="32"/>
          <w:szCs w:val="32"/>
        </w:rPr>
        <w:t>”</w:t>
      </w:r>
      <w:r>
        <w:rPr>
          <w:rFonts w:hint="eastAsia" w:eastAsia="仿宋_GB2312"/>
          <w:sz w:val="32"/>
          <w:szCs w:val="32"/>
        </w:rPr>
        <w:t>的原则，切实加强对民办学校招生工作的监督与管理。对在招生工作中违规违纪、弄虚作假的民办学校，依据《中华人民共和国民办教育促进法》等有关规定严肃处理。</w:t>
      </w:r>
    </w:p>
    <w:p>
      <w:pPr>
        <w:adjustRightInd w:val="0"/>
        <w:snapToGrid w:val="0"/>
        <w:spacing w:line="570" w:lineRule="exact"/>
        <w:ind w:firstLine="630"/>
        <w:rPr>
          <w:rFonts w:eastAsia="仿宋_GB2312"/>
          <w:sz w:val="32"/>
          <w:szCs w:val="32"/>
        </w:rPr>
      </w:pPr>
      <w:r>
        <w:rPr>
          <w:rFonts w:hint="eastAsia" w:eastAsia="楷体_GB2312"/>
          <w:b/>
          <w:sz w:val="32"/>
          <w:szCs w:val="32"/>
        </w:rPr>
        <w:t>（五）规范宏志班招生。</w:t>
      </w:r>
      <w:r>
        <w:rPr>
          <w:rFonts w:hint="eastAsia" w:eastAsia="仿宋_GB2312"/>
          <w:sz w:val="32"/>
          <w:szCs w:val="32"/>
        </w:rPr>
        <w:t>宏志班招生对象为建档立卡等家庭经济困难、品学兼优的应届初中毕业生（含非建档立卡的家庭经济困难残疾学生、农村低保家庭学生、农村特困救助供养学生），具体认定办法参照《河南省教育厅</w:t>
      </w:r>
      <w:r>
        <w:rPr>
          <w:rFonts w:eastAsia="仿宋_GB2312"/>
          <w:sz w:val="32"/>
          <w:szCs w:val="32"/>
        </w:rPr>
        <w:t xml:space="preserve"> </w:t>
      </w:r>
      <w:r>
        <w:rPr>
          <w:rFonts w:hint="eastAsia" w:eastAsia="仿宋_GB2312"/>
          <w:sz w:val="32"/>
          <w:szCs w:val="32"/>
        </w:rPr>
        <w:t>河南省民政厅</w:t>
      </w:r>
      <w:r>
        <w:rPr>
          <w:rFonts w:eastAsia="仿宋_GB2312"/>
          <w:sz w:val="32"/>
          <w:szCs w:val="32"/>
        </w:rPr>
        <w:t xml:space="preserve"> </w:t>
      </w:r>
      <w:r>
        <w:rPr>
          <w:rFonts w:hint="eastAsia" w:eastAsia="仿宋_GB2312"/>
          <w:sz w:val="32"/>
          <w:szCs w:val="32"/>
        </w:rPr>
        <w:t>河南省扶贫办</w:t>
      </w:r>
      <w:r>
        <w:rPr>
          <w:rFonts w:eastAsia="仿宋_GB2312"/>
          <w:sz w:val="32"/>
          <w:szCs w:val="32"/>
        </w:rPr>
        <w:t xml:space="preserve"> </w:t>
      </w:r>
      <w:r>
        <w:rPr>
          <w:rFonts w:hint="eastAsia" w:eastAsia="仿宋_GB2312"/>
          <w:sz w:val="32"/>
          <w:szCs w:val="32"/>
        </w:rPr>
        <w:t>河南省残疾人联合会转发〈普通高中建档立卡家庭经济困难学生免除学杂费政策对象的认定及学杂费减免工作暂行办法〉的通知》（教财〔</w:t>
      </w:r>
      <w:r>
        <w:rPr>
          <w:rFonts w:eastAsia="仿宋_GB2312"/>
          <w:sz w:val="32"/>
          <w:szCs w:val="32"/>
        </w:rPr>
        <w:t>2016</w:t>
      </w:r>
      <w:r>
        <w:rPr>
          <w:rFonts w:hint="eastAsia" w:eastAsia="仿宋_GB2312"/>
          <w:sz w:val="32"/>
          <w:szCs w:val="32"/>
        </w:rPr>
        <w:t>〕</w:t>
      </w:r>
      <w:r>
        <w:rPr>
          <w:rFonts w:eastAsia="仿宋_GB2312"/>
          <w:sz w:val="32"/>
          <w:szCs w:val="32"/>
        </w:rPr>
        <w:t>964</w:t>
      </w:r>
      <w:r>
        <w:rPr>
          <w:rFonts w:hint="eastAsia" w:eastAsia="仿宋_GB2312"/>
          <w:sz w:val="32"/>
          <w:szCs w:val="32"/>
        </w:rPr>
        <w:t>号）执行。</w:t>
      </w:r>
    </w:p>
    <w:p>
      <w:pPr>
        <w:adjustRightInd w:val="0"/>
        <w:snapToGrid w:val="0"/>
        <w:spacing w:line="570" w:lineRule="exact"/>
        <w:rPr>
          <w:rFonts w:eastAsia="仿宋_GB2312"/>
          <w:b/>
          <w:i/>
          <w:sz w:val="32"/>
          <w:szCs w:val="32"/>
        </w:rPr>
      </w:pPr>
      <w:r>
        <w:rPr>
          <w:rFonts w:ascii="仿宋_GB2312" w:eastAsia="仿宋_GB2312"/>
          <w:b/>
          <w:sz w:val="32"/>
          <w:szCs w:val="32"/>
        </w:rPr>
        <w:t xml:space="preserve">    </w:t>
      </w:r>
      <w:r>
        <w:rPr>
          <w:rFonts w:hint="eastAsia" w:eastAsia="仿宋_GB2312"/>
          <w:sz w:val="32"/>
          <w:szCs w:val="32"/>
        </w:rPr>
        <w:t>根据省教育厅有关普通高中招生工作精神，自</w:t>
      </w:r>
      <w:r>
        <w:rPr>
          <w:rFonts w:eastAsia="仿宋_GB2312"/>
          <w:sz w:val="32"/>
          <w:szCs w:val="32"/>
        </w:rPr>
        <w:t>2021</w:t>
      </w:r>
      <w:r>
        <w:rPr>
          <w:rFonts w:hint="eastAsia" w:eastAsia="仿宋_GB2312"/>
          <w:sz w:val="32"/>
          <w:szCs w:val="32"/>
        </w:rPr>
        <w:t>年起，我市漯河高中宏志班停止招生。</w:t>
      </w:r>
    </w:p>
    <w:p>
      <w:pPr>
        <w:spacing w:line="570" w:lineRule="exact"/>
      </w:pPr>
      <w:r>
        <w:rPr>
          <w:rFonts w:ascii="仿宋_GB2312" w:eastAsia="仿宋_GB2312"/>
          <w:b/>
          <w:sz w:val="32"/>
          <w:szCs w:val="32"/>
        </w:rPr>
        <w:t xml:space="preserve">    </w:t>
      </w:r>
      <w:r>
        <w:rPr>
          <w:rFonts w:hint="eastAsia" w:eastAsia="楷体_GB2312"/>
          <w:b/>
          <w:sz w:val="32"/>
          <w:szCs w:val="32"/>
        </w:rPr>
        <w:t>（六）严格控制中招政策性加分。</w:t>
      </w:r>
      <w:r>
        <w:rPr>
          <w:rFonts w:hint="eastAsia" w:eastAsia="仿宋_GB2312"/>
          <w:kern w:val="0"/>
          <w:sz w:val="32"/>
          <w:szCs w:val="32"/>
        </w:rPr>
        <w:t>今年我市普通高中招生政策性加分对象和标准与《河南省中招政策性加分对象和标准》（附件</w:t>
      </w:r>
      <w:r>
        <w:rPr>
          <w:rFonts w:eastAsia="仿宋_GB2312"/>
          <w:kern w:val="0"/>
          <w:sz w:val="32"/>
          <w:szCs w:val="32"/>
        </w:rPr>
        <w:t>2</w:t>
      </w:r>
      <w:r>
        <w:rPr>
          <w:rFonts w:hint="eastAsia" w:eastAsia="仿宋_GB2312"/>
          <w:kern w:val="0"/>
          <w:sz w:val="32"/>
          <w:szCs w:val="32"/>
        </w:rPr>
        <w:t>）一致。按照</w:t>
      </w:r>
      <w:r>
        <w:rPr>
          <w:rFonts w:eastAsia="仿宋_GB2312"/>
          <w:kern w:val="0"/>
          <w:sz w:val="32"/>
          <w:szCs w:val="32"/>
        </w:rPr>
        <w:t>“</w:t>
      </w:r>
      <w:r>
        <w:rPr>
          <w:rFonts w:hint="eastAsia" w:eastAsia="仿宋_GB2312"/>
          <w:kern w:val="0"/>
          <w:sz w:val="32"/>
          <w:szCs w:val="32"/>
        </w:rPr>
        <w:t>谁主管、谁认定、谁负责</w:t>
      </w:r>
      <w:r>
        <w:rPr>
          <w:rFonts w:eastAsia="仿宋_GB2312"/>
          <w:kern w:val="0"/>
          <w:sz w:val="32"/>
          <w:szCs w:val="32"/>
        </w:rPr>
        <w:t>”</w:t>
      </w:r>
      <w:r>
        <w:rPr>
          <w:rFonts w:hint="eastAsia" w:eastAsia="仿宋_GB2312"/>
          <w:kern w:val="0"/>
          <w:sz w:val="32"/>
          <w:szCs w:val="32"/>
        </w:rPr>
        <w:t>的原则，公安、侨务等有关部门须向教育行政部门或考生出具有效的加分证明材料。同一考生如符合多项加分条件，只取其中最高一项分值加分，不得重复加分。各县区和市属初中要严格审查加分照顾对象的资格，坚决抵制各种弄虚作假现象。</w:t>
      </w:r>
    </w:p>
    <w:p>
      <w:pPr>
        <w:adjustRightInd w:val="0"/>
        <w:snapToGrid w:val="0"/>
        <w:spacing w:line="570" w:lineRule="exact"/>
        <w:rPr>
          <w:rFonts w:eastAsia="仿宋_GB2312"/>
          <w:bCs/>
          <w:kern w:val="0"/>
          <w:sz w:val="32"/>
          <w:szCs w:val="32"/>
        </w:rPr>
      </w:pPr>
      <w:r>
        <w:rPr>
          <w:rFonts w:eastAsia="仿宋_GB2312"/>
          <w:sz w:val="32"/>
          <w:szCs w:val="32"/>
        </w:rPr>
        <w:t xml:space="preserve">    </w:t>
      </w:r>
      <w:r>
        <w:rPr>
          <w:rFonts w:hint="eastAsia" w:eastAsia="楷体_GB2312"/>
          <w:b/>
          <w:sz w:val="32"/>
          <w:szCs w:val="32"/>
        </w:rPr>
        <w:t>（七）认真落实进城务工人员随迁子女升学考试政策。</w:t>
      </w:r>
      <w:r>
        <w:rPr>
          <w:rFonts w:hint="eastAsia" w:eastAsia="仿宋_GB2312"/>
          <w:sz w:val="32"/>
          <w:szCs w:val="32"/>
        </w:rPr>
        <w:t>各县区</w:t>
      </w:r>
      <w:r>
        <w:rPr>
          <w:rFonts w:hint="eastAsia" w:eastAsia="仿宋_GB2312"/>
          <w:kern w:val="0"/>
          <w:sz w:val="32"/>
          <w:szCs w:val="32"/>
        </w:rPr>
        <w:t>要认真贯彻落实《河南省人民政府办公厅转发省教育厅等部门关于做好进城务工人员随迁子女接受义务教育后在当地参加升学考试工作实施意见的通知》（豫政办〔</w:t>
      </w:r>
      <w:r>
        <w:rPr>
          <w:rFonts w:eastAsia="仿宋_GB2312"/>
          <w:kern w:val="0"/>
          <w:sz w:val="32"/>
          <w:szCs w:val="32"/>
        </w:rPr>
        <w:t>2012</w:t>
      </w:r>
      <w:r>
        <w:rPr>
          <w:rFonts w:hint="eastAsia" w:eastAsia="仿宋_GB2312"/>
          <w:kern w:val="0"/>
          <w:sz w:val="32"/>
          <w:szCs w:val="32"/>
        </w:rPr>
        <w:t>〕</w:t>
      </w:r>
      <w:r>
        <w:rPr>
          <w:rFonts w:eastAsia="仿宋_GB2312"/>
          <w:kern w:val="0"/>
          <w:sz w:val="32"/>
          <w:szCs w:val="32"/>
        </w:rPr>
        <w:t>180</w:t>
      </w:r>
      <w:r>
        <w:rPr>
          <w:rFonts w:hint="eastAsia" w:eastAsia="仿宋_GB2312"/>
          <w:kern w:val="0"/>
          <w:sz w:val="32"/>
          <w:szCs w:val="32"/>
        </w:rPr>
        <w:t>号）和《</w:t>
      </w:r>
      <w:r>
        <w:rPr>
          <w:rFonts w:hint="eastAsia" w:eastAsia="仿宋_GB2312"/>
          <w:bCs/>
          <w:kern w:val="0"/>
          <w:sz w:val="32"/>
          <w:szCs w:val="32"/>
        </w:rPr>
        <w:t>河南省人民政府关于印发河南省居住证实施办法的通知</w:t>
      </w:r>
      <w:r>
        <w:rPr>
          <w:rFonts w:hint="eastAsia" w:eastAsia="仿宋_GB2312"/>
          <w:kern w:val="0"/>
          <w:sz w:val="32"/>
          <w:szCs w:val="32"/>
        </w:rPr>
        <w:t>》（豫政〔</w:t>
      </w:r>
      <w:r>
        <w:rPr>
          <w:rFonts w:eastAsia="仿宋_GB2312"/>
          <w:kern w:val="0"/>
          <w:sz w:val="32"/>
          <w:szCs w:val="32"/>
        </w:rPr>
        <w:t>2016</w:t>
      </w:r>
      <w:r>
        <w:rPr>
          <w:rFonts w:hint="eastAsia" w:eastAsia="仿宋_GB2312"/>
          <w:kern w:val="0"/>
          <w:sz w:val="32"/>
          <w:szCs w:val="32"/>
        </w:rPr>
        <w:t>〕</w:t>
      </w:r>
      <w:r>
        <w:rPr>
          <w:rFonts w:eastAsia="仿宋_GB2312"/>
          <w:kern w:val="0"/>
          <w:sz w:val="32"/>
          <w:szCs w:val="32"/>
        </w:rPr>
        <w:t>76</w:t>
      </w:r>
      <w:r>
        <w:rPr>
          <w:rFonts w:hint="eastAsia" w:eastAsia="仿宋_GB2312"/>
          <w:kern w:val="0"/>
          <w:sz w:val="32"/>
          <w:szCs w:val="32"/>
        </w:rPr>
        <w:t>号）精神，加强组织领导和统筹协调，健全进城务工人员随迁子女以居住证为主要依据的中招升学考试政策，确保符合《国家居住证暂行条例》要求的随迁子女接受义务教育后能够在流入地参加中考。</w:t>
      </w:r>
    </w:p>
    <w:p>
      <w:pPr>
        <w:adjustRightInd w:val="0"/>
        <w:snapToGrid w:val="0"/>
        <w:spacing w:line="570" w:lineRule="exact"/>
        <w:rPr>
          <w:rFonts w:eastAsia="仿宋_GB2312"/>
          <w:bCs/>
          <w:kern w:val="0"/>
          <w:sz w:val="32"/>
          <w:szCs w:val="32"/>
        </w:rPr>
      </w:pPr>
      <w:r>
        <w:rPr>
          <w:sz w:val="32"/>
          <w:szCs w:val="32"/>
        </w:rPr>
        <w:t xml:space="preserve">    </w:t>
      </w:r>
      <w:r>
        <w:rPr>
          <w:rFonts w:hint="eastAsia" w:eastAsia="楷体_GB2312"/>
          <w:b/>
          <w:sz w:val="32"/>
          <w:szCs w:val="32"/>
        </w:rPr>
        <w:t>（八）切实保障听力残疾学生公平参加考试权利。</w:t>
      </w:r>
      <w:r>
        <w:rPr>
          <w:rFonts w:hint="eastAsia" w:eastAsia="仿宋_GB2312"/>
          <w:sz w:val="32"/>
          <w:szCs w:val="32"/>
        </w:rPr>
        <w:t>听力残疾（</w:t>
      </w:r>
      <w:r>
        <w:rPr>
          <w:rFonts w:eastAsia="仿宋_GB2312"/>
          <w:sz w:val="32"/>
          <w:szCs w:val="32"/>
        </w:rPr>
        <w:t>500Hz</w:t>
      </w:r>
      <w:r>
        <w:rPr>
          <w:rFonts w:hint="eastAsia" w:eastAsia="仿宋_GB2312"/>
          <w:sz w:val="32"/>
          <w:szCs w:val="32"/>
        </w:rPr>
        <w:t>、</w:t>
      </w:r>
      <w:r>
        <w:rPr>
          <w:rFonts w:eastAsia="仿宋_GB2312"/>
          <w:sz w:val="32"/>
          <w:szCs w:val="32"/>
        </w:rPr>
        <w:t>1000Hz</w:t>
      </w:r>
      <w:r>
        <w:rPr>
          <w:rFonts w:hint="eastAsia" w:eastAsia="仿宋_GB2312"/>
          <w:sz w:val="32"/>
          <w:szCs w:val="32"/>
        </w:rPr>
        <w:t>、</w:t>
      </w:r>
      <w:r>
        <w:rPr>
          <w:rFonts w:eastAsia="仿宋_GB2312"/>
          <w:sz w:val="32"/>
          <w:szCs w:val="32"/>
        </w:rPr>
        <w:t>2000Hz</w:t>
      </w:r>
      <w:r>
        <w:rPr>
          <w:rFonts w:hint="eastAsia" w:eastAsia="仿宋_GB2312"/>
          <w:sz w:val="32"/>
          <w:szCs w:val="32"/>
        </w:rPr>
        <w:t>、</w:t>
      </w:r>
      <w:r>
        <w:rPr>
          <w:rFonts w:eastAsia="仿宋_GB2312"/>
          <w:sz w:val="32"/>
          <w:szCs w:val="32"/>
        </w:rPr>
        <w:t>4000Hz</w:t>
      </w:r>
      <w:r>
        <w:rPr>
          <w:rFonts w:hint="eastAsia" w:eastAsia="仿宋_GB2312"/>
          <w:sz w:val="32"/>
          <w:szCs w:val="32"/>
        </w:rPr>
        <w:t>的纯音听力检测结果为每侧耳的平均听力损失都等于或大于</w:t>
      </w:r>
      <w:r>
        <w:rPr>
          <w:rFonts w:eastAsia="仿宋_GB2312"/>
          <w:sz w:val="32"/>
          <w:szCs w:val="32"/>
        </w:rPr>
        <w:t>40</w:t>
      </w:r>
      <w:r>
        <w:rPr>
          <w:rFonts w:hint="eastAsia" w:eastAsia="仿宋_GB2312"/>
          <w:sz w:val="32"/>
          <w:szCs w:val="32"/>
        </w:rPr>
        <w:t>分贝</w:t>
      </w:r>
      <w:r>
        <w:rPr>
          <w:rFonts w:eastAsia="仿宋_GB2312"/>
          <w:sz w:val="32"/>
          <w:szCs w:val="32"/>
        </w:rPr>
        <w:t>[HL]</w:t>
      </w:r>
      <w:r>
        <w:rPr>
          <w:rFonts w:hint="eastAsia" w:eastAsia="仿宋_GB2312"/>
          <w:sz w:val="32"/>
          <w:szCs w:val="32"/>
        </w:rPr>
        <w:t>）学生，可凭地市级以上医院（含地市级）出具的听力检测证明（报告），向所在初中学校申请免英语听力测试，经初中学校公示</w:t>
      </w:r>
      <w:r>
        <w:rPr>
          <w:rFonts w:eastAsia="仿宋_GB2312"/>
          <w:sz w:val="32"/>
          <w:szCs w:val="32"/>
        </w:rPr>
        <w:t>5</w:t>
      </w:r>
      <w:r>
        <w:rPr>
          <w:rFonts w:hint="eastAsia" w:eastAsia="仿宋_GB2312"/>
          <w:sz w:val="32"/>
          <w:szCs w:val="32"/>
        </w:rPr>
        <w:t>天无异议，报市</w:t>
      </w:r>
      <w:r>
        <w:rPr>
          <w:rFonts w:eastAsia="仿宋_GB2312"/>
          <w:sz w:val="32"/>
          <w:szCs w:val="32"/>
        </w:rPr>
        <w:t>(</w:t>
      </w:r>
      <w:r>
        <w:rPr>
          <w:rFonts w:hint="eastAsia" w:eastAsia="仿宋_GB2312"/>
          <w:sz w:val="32"/>
          <w:szCs w:val="32"/>
        </w:rPr>
        <w:t>县区</w:t>
      </w:r>
      <w:r>
        <w:rPr>
          <w:rFonts w:eastAsia="仿宋_GB2312"/>
          <w:sz w:val="32"/>
          <w:szCs w:val="32"/>
        </w:rPr>
        <w:t>)</w:t>
      </w:r>
      <w:r>
        <w:rPr>
          <w:rFonts w:hint="eastAsia" w:eastAsia="仿宋_GB2312"/>
          <w:sz w:val="32"/>
          <w:szCs w:val="32"/>
        </w:rPr>
        <w:t>教育局审核批准后（相关材料需交市县阅卷部门一份备案），可免试英语听力。免试听力学生英语听力成绩按照其英语非听力部分得分比例计算，计算公式为：免试听力学生英语听力成绩</w:t>
      </w:r>
      <w:r>
        <w:rPr>
          <w:rFonts w:eastAsia="仿宋_GB2312"/>
          <w:sz w:val="32"/>
          <w:szCs w:val="32"/>
        </w:rPr>
        <w:t>=</w:t>
      </w:r>
      <w:r>
        <w:rPr>
          <w:rFonts w:hint="eastAsia" w:eastAsia="仿宋_GB2312"/>
          <w:sz w:val="32"/>
          <w:szCs w:val="32"/>
        </w:rPr>
        <w:t>英语听力部分总分</w:t>
      </w:r>
      <w:r>
        <w:rPr>
          <w:rFonts w:eastAsia="仿宋_GB2312"/>
          <w:sz w:val="32"/>
          <w:szCs w:val="32"/>
        </w:rPr>
        <w:t>×</w:t>
      </w:r>
      <w:r>
        <w:rPr>
          <w:rFonts w:hint="eastAsia" w:eastAsia="仿宋_GB2312"/>
          <w:sz w:val="32"/>
          <w:szCs w:val="32"/>
        </w:rPr>
        <w:t>（非听力部分得分</w:t>
      </w:r>
      <w:r>
        <w:rPr>
          <w:rFonts w:eastAsia="仿宋_GB2312"/>
          <w:sz w:val="32"/>
          <w:szCs w:val="32"/>
        </w:rPr>
        <w:t>÷</w:t>
      </w:r>
      <w:r>
        <w:rPr>
          <w:rFonts w:hint="eastAsia" w:eastAsia="仿宋_GB2312"/>
          <w:sz w:val="32"/>
          <w:szCs w:val="32"/>
        </w:rPr>
        <w:t>非听力部分总分）。</w:t>
      </w:r>
      <w:r>
        <w:rPr>
          <w:rFonts w:eastAsia="仿宋_GB2312"/>
          <w:sz w:val="32"/>
          <w:szCs w:val="32"/>
        </w:rPr>
        <w:t xml:space="preserve"> </w:t>
      </w:r>
    </w:p>
    <w:p>
      <w:pPr>
        <w:adjustRightInd w:val="0"/>
        <w:snapToGrid w:val="0"/>
        <w:spacing w:line="570" w:lineRule="exact"/>
        <w:rPr>
          <w:rFonts w:eastAsia="仿宋_GB2312"/>
          <w:sz w:val="32"/>
          <w:szCs w:val="32"/>
        </w:rPr>
      </w:pPr>
      <w:r>
        <w:rPr>
          <w:rFonts w:eastAsia="楷体_GB2312"/>
          <w:sz w:val="32"/>
          <w:szCs w:val="32"/>
        </w:rPr>
        <w:t xml:space="preserve">    </w:t>
      </w:r>
      <w:r>
        <w:rPr>
          <w:rFonts w:hint="eastAsia" w:eastAsia="楷体_GB2312"/>
          <w:b/>
          <w:sz w:val="32"/>
          <w:szCs w:val="32"/>
        </w:rPr>
        <w:t>（九）建立健全招生管理诚信和公示督导制度。</w:t>
      </w:r>
      <w:r>
        <w:rPr>
          <w:rFonts w:hint="eastAsia" w:eastAsia="仿宋_GB2312"/>
          <w:b/>
          <w:bCs/>
          <w:sz w:val="32"/>
          <w:szCs w:val="32"/>
        </w:rPr>
        <w:t>一是</w:t>
      </w:r>
      <w:r>
        <w:rPr>
          <w:rFonts w:hint="eastAsia" w:eastAsia="仿宋_GB2312"/>
          <w:sz w:val="32"/>
          <w:szCs w:val="32"/>
        </w:rPr>
        <w:t>建立健全普通高中招生考试、综合素质评定和普通高中招生录取诚信机制，各参与考试招生录取的相关人员都要签订诚信协议，建立诚信档案。凡违背诚信承诺、发生违规违纪行为的，要立即停止其职权，今后不得聘请其参与相关工作；造成严重后果的，要依法依纪追究责任。</w:t>
      </w:r>
      <w:r>
        <w:rPr>
          <w:rFonts w:hint="eastAsia" w:eastAsia="仿宋_GB2312"/>
          <w:b/>
          <w:bCs/>
          <w:sz w:val="32"/>
          <w:szCs w:val="32"/>
        </w:rPr>
        <w:t>二是</w:t>
      </w:r>
      <w:r>
        <w:rPr>
          <w:rFonts w:hint="eastAsia" w:eastAsia="仿宋_GB2312"/>
          <w:sz w:val="32"/>
          <w:szCs w:val="32"/>
        </w:rPr>
        <w:t>落实公示制度</w:t>
      </w:r>
      <w:r>
        <w:rPr>
          <w:rFonts w:hint="eastAsia" w:hAnsi="宋体"/>
          <w:kern w:val="0"/>
          <w:sz w:val="28"/>
          <w:szCs w:val="28"/>
          <w:shd w:val="clear" w:color="auto" w:fill="FFFFFF"/>
        </w:rPr>
        <w:t>。</w:t>
      </w:r>
      <w:r>
        <w:rPr>
          <w:rFonts w:hint="eastAsia" w:eastAsia="仿宋_GB2312"/>
          <w:sz w:val="32"/>
          <w:szCs w:val="32"/>
        </w:rPr>
        <w:t>各县区普通高中招生计划、招生录取方案、考试收费标准、加分学生名单以及初中毕业生综合素质评定方案、内容、方法、程序等，均要在报上一级教育行政部门备案后向社会公示。</w:t>
      </w:r>
      <w:r>
        <w:rPr>
          <w:rFonts w:hint="eastAsia" w:eastAsia="仿宋_GB2312"/>
          <w:b/>
          <w:bCs/>
          <w:sz w:val="32"/>
          <w:szCs w:val="32"/>
        </w:rPr>
        <w:t>三是</w:t>
      </w:r>
      <w:r>
        <w:rPr>
          <w:rFonts w:hint="eastAsia" w:eastAsia="仿宋_GB2312"/>
          <w:sz w:val="32"/>
          <w:szCs w:val="32"/>
        </w:rPr>
        <w:t>完善监督制度。要健全考试巡视检查和招生录取监督制度，各级教育行政部门要加强对考试和录取工作的监督检查，确保规范操作。</w:t>
      </w:r>
      <w:r>
        <w:rPr>
          <w:rFonts w:hint="eastAsia" w:eastAsia="仿宋_GB2312"/>
          <w:b/>
          <w:bCs/>
          <w:sz w:val="32"/>
          <w:szCs w:val="32"/>
        </w:rPr>
        <w:t>四是</w:t>
      </w:r>
      <w:r>
        <w:rPr>
          <w:rFonts w:hint="eastAsia" w:eastAsia="仿宋_GB2312"/>
          <w:sz w:val="32"/>
          <w:szCs w:val="32"/>
        </w:rPr>
        <w:t>完善招生政策咨询制度。各县区要依托河南省高中阶段教育招生信息服务平台进行信息采集、成绩发布、招生录取、学籍注册等工作，加强对招生情况的监控和管理，实行阳光招生，保证中招工作的公开、公平、公正。各县区、各学校要设立网络解答、电话咨询等服务，及时按政策解答学生、家长和社会的咨询。</w:t>
      </w:r>
    </w:p>
    <w:p>
      <w:pPr>
        <w:adjustRightInd w:val="0"/>
        <w:snapToGrid w:val="0"/>
        <w:spacing w:line="570" w:lineRule="exact"/>
        <w:rPr>
          <w:rFonts w:eastAsia="黑体"/>
          <w:sz w:val="32"/>
          <w:szCs w:val="32"/>
        </w:rPr>
      </w:pPr>
      <w:r>
        <w:rPr>
          <w:rFonts w:eastAsia="仿宋_GB2312"/>
          <w:sz w:val="32"/>
          <w:szCs w:val="32"/>
        </w:rPr>
        <w:t xml:space="preserve">    </w:t>
      </w:r>
      <w:r>
        <w:rPr>
          <w:rFonts w:hint="eastAsia" w:eastAsia="黑体"/>
          <w:sz w:val="32"/>
          <w:szCs w:val="32"/>
        </w:rPr>
        <w:t>四、工作要求</w:t>
      </w:r>
    </w:p>
    <w:p>
      <w:pPr>
        <w:spacing w:line="570" w:lineRule="exact"/>
        <w:rPr>
          <w:rFonts w:eastAsia="楷体_GB2312"/>
          <w:b/>
          <w:kern w:val="0"/>
          <w:sz w:val="32"/>
          <w:szCs w:val="32"/>
        </w:rPr>
      </w:pPr>
      <w:r>
        <w:rPr>
          <w:rFonts w:eastAsia="楷体_GB2312"/>
          <w:b/>
          <w:kern w:val="0"/>
          <w:sz w:val="32"/>
          <w:szCs w:val="32"/>
        </w:rPr>
        <w:t xml:space="preserve">    </w:t>
      </w:r>
      <w:r>
        <w:rPr>
          <w:rFonts w:hint="eastAsia" w:eastAsia="楷体_GB2312"/>
          <w:b/>
          <w:kern w:val="0"/>
          <w:sz w:val="32"/>
          <w:szCs w:val="32"/>
        </w:rPr>
        <w:t>（一）加强组织领导，落实目标任务</w:t>
      </w:r>
    </w:p>
    <w:p>
      <w:pPr>
        <w:spacing w:line="570" w:lineRule="exact"/>
        <w:rPr>
          <w:rFonts w:eastAsia="仿宋_GB2312"/>
          <w:spacing w:val="-2"/>
          <w:sz w:val="32"/>
          <w:szCs w:val="32"/>
        </w:rPr>
      </w:pPr>
      <w:r>
        <w:rPr>
          <w:rFonts w:eastAsia="楷体_GB2312"/>
          <w:b/>
          <w:kern w:val="0"/>
          <w:sz w:val="32"/>
          <w:szCs w:val="32"/>
        </w:rPr>
        <w:t xml:space="preserve">    </w:t>
      </w:r>
      <w:r>
        <w:rPr>
          <w:rFonts w:hint="eastAsia" w:eastAsia="仿宋_GB2312"/>
          <w:spacing w:val="-2"/>
          <w:sz w:val="32"/>
          <w:szCs w:val="32"/>
        </w:rPr>
        <w:t>各级教育行政部门要加强对中招工作的领导和管理，要根据</w:t>
      </w:r>
      <w:r>
        <w:rPr>
          <w:rFonts w:eastAsia="仿宋_GB2312"/>
          <w:spacing w:val="-2"/>
          <w:sz w:val="32"/>
          <w:szCs w:val="32"/>
        </w:rPr>
        <w:t>2021</w:t>
      </w:r>
      <w:r>
        <w:rPr>
          <w:rFonts w:hint="eastAsia" w:eastAsia="仿宋_GB2312"/>
          <w:spacing w:val="-2"/>
          <w:sz w:val="32"/>
          <w:szCs w:val="32"/>
        </w:rPr>
        <w:t>年初中毕业生人数和普通高中办学条件，统筹普通高中和中等职业教育协调发展，合理确定普通高中教育与中等职业教育招生任务，适度扩大高中阶段教育招生规模，提高高中阶段教育普及程度。各地要制定科学规范的中招工作方案，经当地人民政府批准后实施，并报上一级教育行政部门备案。</w:t>
      </w:r>
    </w:p>
    <w:p>
      <w:pPr>
        <w:spacing w:line="570" w:lineRule="exact"/>
        <w:ind w:firstLine="632" w:firstLineChars="200"/>
        <w:rPr>
          <w:rFonts w:eastAsia="仿宋_GB2312"/>
          <w:spacing w:val="-2"/>
          <w:sz w:val="32"/>
          <w:szCs w:val="32"/>
        </w:rPr>
      </w:pPr>
      <w:r>
        <w:rPr>
          <w:rFonts w:hint="eastAsia" w:eastAsia="仿宋_GB2312"/>
          <w:spacing w:val="-2"/>
          <w:sz w:val="32"/>
          <w:szCs w:val="32"/>
        </w:rPr>
        <w:t>各县区要按照国家和省市有关要求，切实履行属地管理责任，统筹做好疫情防控和中招考试工作。要加强与卫健、市场监管、公安、交通等部门联系，细化考试防疫工作方案，做好中招考试各环节的疫情防控工作，严防聚集性疫情发生，切实保障广大考生和涉考工作人员的生命安全和身体健康。要针对中考期间可能发生的极端天气和自然灾害，指导学校做好应急预案，处理好各类突发事件，全力保障中考安全、平稳、顺利进行。</w:t>
      </w:r>
    </w:p>
    <w:p>
      <w:pPr>
        <w:adjustRightInd w:val="0"/>
        <w:snapToGrid w:val="0"/>
        <w:spacing w:line="570" w:lineRule="exact"/>
        <w:rPr>
          <w:rFonts w:eastAsia="楷体_GB2312"/>
          <w:b/>
          <w:kern w:val="0"/>
          <w:sz w:val="32"/>
          <w:szCs w:val="32"/>
        </w:rPr>
      </w:pPr>
      <w:r>
        <w:rPr>
          <w:rFonts w:eastAsia="仿宋_GB2312"/>
          <w:sz w:val="32"/>
          <w:szCs w:val="32"/>
        </w:rPr>
        <w:t xml:space="preserve">    </w:t>
      </w:r>
      <w:r>
        <w:rPr>
          <w:rFonts w:hint="eastAsia" w:eastAsia="楷体_GB2312"/>
          <w:b/>
          <w:kern w:val="0"/>
          <w:sz w:val="32"/>
          <w:szCs w:val="32"/>
        </w:rPr>
        <w:t>（二）强化责任意识，严肃考风考纪</w:t>
      </w:r>
    </w:p>
    <w:p>
      <w:pPr>
        <w:adjustRightInd w:val="0"/>
        <w:snapToGrid w:val="0"/>
        <w:spacing w:line="570" w:lineRule="exact"/>
        <w:rPr>
          <w:rFonts w:eastAsia="仿宋_GB2312"/>
          <w:spacing w:val="-2"/>
          <w:sz w:val="32"/>
          <w:szCs w:val="32"/>
        </w:rPr>
      </w:pPr>
      <w:r>
        <w:rPr>
          <w:rFonts w:eastAsia="仿宋_GB2312"/>
          <w:sz w:val="32"/>
          <w:szCs w:val="32"/>
        </w:rPr>
        <w:t xml:space="preserve">    </w:t>
      </w:r>
      <w:r>
        <w:rPr>
          <w:rFonts w:hint="eastAsia" w:eastAsia="仿宋_GB2312"/>
          <w:spacing w:val="-2"/>
          <w:sz w:val="32"/>
          <w:szCs w:val="32"/>
        </w:rPr>
        <w:t>各县区要按照国家和省市教育考试的有关要求，统一设置考点、考场，规范考场布置，将中招考试全部安排在标准化考场进行，确保考试安全。要进一步</w:t>
      </w:r>
      <w:r>
        <w:rPr>
          <w:rFonts w:hint="eastAsia" w:eastAsia="仿宋_GB2312"/>
          <w:spacing w:val="-2"/>
          <w:kern w:val="0"/>
          <w:sz w:val="32"/>
          <w:szCs w:val="32"/>
        </w:rPr>
        <w:t>明确责任分工，细化工作职责。按照</w:t>
      </w:r>
      <w:r>
        <w:rPr>
          <w:rFonts w:eastAsia="仿宋_GB2312"/>
          <w:spacing w:val="-2"/>
          <w:kern w:val="0"/>
          <w:sz w:val="32"/>
          <w:szCs w:val="32"/>
        </w:rPr>
        <w:t>“</w:t>
      </w:r>
      <w:r>
        <w:rPr>
          <w:rFonts w:hint="eastAsia" w:eastAsia="仿宋_GB2312"/>
          <w:spacing w:val="-2"/>
          <w:kern w:val="0"/>
          <w:sz w:val="32"/>
          <w:szCs w:val="32"/>
        </w:rPr>
        <w:t>统一考试，分级负责</w:t>
      </w:r>
      <w:r>
        <w:rPr>
          <w:rFonts w:eastAsia="仿宋_GB2312"/>
          <w:spacing w:val="-2"/>
          <w:kern w:val="0"/>
          <w:sz w:val="32"/>
          <w:szCs w:val="32"/>
        </w:rPr>
        <w:t>”</w:t>
      </w:r>
      <w:r>
        <w:rPr>
          <w:rFonts w:hint="eastAsia" w:eastAsia="仿宋_GB2312"/>
          <w:spacing w:val="-2"/>
          <w:kern w:val="0"/>
          <w:sz w:val="32"/>
          <w:szCs w:val="32"/>
        </w:rPr>
        <w:t>和</w:t>
      </w:r>
      <w:r>
        <w:rPr>
          <w:rFonts w:eastAsia="仿宋_GB2312"/>
          <w:spacing w:val="-2"/>
          <w:kern w:val="0"/>
          <w:sz w:val="32"/>
          <w:szCs w:val="32"/>
        </w:rPr>
        <w:t>“</w:t>
      </w:r>
      <w:r>
        <w:rPr>
          <w:rFonts w:hint="eastAsia" w:eastAsia="仿宋_GB2312"/>
          <w:spacing w:val="-2"/>
          <w:kern w:val="0"/>
          <w:sz w:val="32"/>
          <w:szCs w:val="32"/>
        </w:rPr>
        <w:t>谁主管，谁负责</w:t>
      </w:r>
      <w:r>
        <w:rPr>
          <w:rFonts w:eastAsia="仿宋_GB2312"/>
          <w:spacing w:val="-2"/>
          <w:kern w:val="0"/>
          <w:sz w:val="32"/>
          <w:szCs w:val="32"/>
        </w:rPr>
        <w:t>”</w:t>
      </w:r>
      <w:r>
        <w:rPr>
          <w:rFonts w:hint="eastAsia" w:eastAsia="仿宋_GB2312"/>
          <w:spacing w:val="-2"/>
          <w:kern w:val="0"/>
          <w:sz w:val="32"/>
          <w:szCs w:val="32"/>
        </w:rPr>
        <w:t>的原则，完善中招考试组织方式，各县区教育局主要领导为本县区中招考试工作第一责任人，分管领导负直接领导责任，同时要认真明确各个环节的责任人，细化目标任务，明确工作责任，层层分解落实，做到层层有人抓，事事有人管，保证考试各项工作要求落到实处。要严格责任追究制度，对履职不到位甚至顶风违纪的行为实行</w:t>
      </w:r>
      <w:r>
        <w:rPr>
          <w:rFonts w:eastAsia="仿宋_GB2312"/>
          <w:spacing w:val="-2"/>
          <w:kern w:val="0"/>
          <w:sz w:val="32"/>
          <w:szCs w:val="32"/>
        </w:rPr>
        <w:t>“</w:t>
      </w:r>
      <w:r>
        <w:rPr>
          <w:rFonts w:hint="eastAsia" w:eastAsia="仿宋_GB2312"/>
          <w:spacing w:val="-2"/>
          <w:kern w:val="0"/>
          <w:sz w:val="32"/>
          <w:szCs w:val="32"/>
        </w:rPr>
        <w:t>零容忍</w:t>
      </w:r>
      <w:r>
        <w:rPr>
          <w:rFonts w:eastAsia="仿宋_GB2312"/>
          <w:spacing w:val="-2"/>
          <w:kern w:val="0"/>
          <w:sz w:val="32"/>
          <w:szCs w:val="32"/>
        </w:rPr>
        <w:t>”</w:t>
      </w:r>
      <w:r>
        <w:rPr>
          <w:rFonts w:hint="eastAsia" w:eastAsia="仿宋_GB2312"/>
          <w:spacing w:val="-2"/>
          <w:kern w:val="0"/>
          <w:sz w:val="32"/>
          <w:szCs w:val="32"/>
        </w:rPr>
        <w:t>，不但要追究直接责任人的责任，相关责任人也要一并追究，从严处理，绝不姑息。对玩忽职守造成考点考场纪律混乱、出现严重作弊现象，或者直接参与作弊的考试工作人员，其所在单位要视情节轻重依照相关规定严肃处理；情节严重构成犯罪的，要由司法机关依法追究刑事责任。</w:t>
      </w:r>
      <w:r>
        <w:rPr>
          <w:rFonts w:hint="eastAsia" w:eastAsia="仿宋_GB2312"/>
          <w:spacing w:val="-2"/>
          <w:sz w:val="32"/>
          <w:szCs w:val="32"/>
        </w:rPr>
        <w:t>对违纪考生，参照《国家教育考试违规处理办法》等有关规定严肃处理，并将作弊行为记入个人诚信档案。</w:t>
      </w:r>
    </w:p>
    <w:p>
      <w:pPr>
        <w:adjustRightInd w:val="0"/>
        <w:snapToGrid w:val="0"/>
        <w:spacing w:line="570" w:lineRule="exact"/>
        <w:rPr>
          <w:rFonts w:eastAsia="仿宋_GB2312"/>
          <w:sz w:val="32"/>
          <w:szCs w:val="32"/>
        </w:rPr>
      </w:pPr>
      <w:r>
        <w:rPr>
          <w:rFonts w:eastAsia="仿宋_GB2312"/>
          <w:sz w:val="32"/>
          <w:szCs w:val="32"/>
        </w:rPr>
        <w:t xml:space="preserve">    </w:t>
      </w:r>
      <w:r>
        <w:rPr>
          <w:rFonts w:hint="eastAsia" w:eastAsia="仿宋_GB2312"/>
          <w:sz w:val="32"/>
          <w:szCs w:val="32"/>
        </w:rPr>
        <w:t>各级教育行政部门要积极争取当地政府支持，合理确定、妥善解决参与保密、监考、评卷、巡考、录取等环节的招生考试工作人员的劳动报酬。</w:t>
      </w:r>
    </w:p>
    <w:p>
      <w:pPr>
        <w:adjustRightInd w:val="0"/>
        <w:snapToGrid w:val="0"/>
        <w:spacing w:line="570" w:lineRule="exact"/>
        <w:rPr>
          <w:rFonts w:eastAsia="仿宋_GB2312"/>
          <w:sz w:val="32"/>
          <w:szCs w:val="32"/>
        </w:rPr>
      </w:pPr>
      <w:r>
        <w:rPr>
          <w:rFonts w:eastAsia="仿宋_GB2312"/>
          <w:sz w:val="32"/>
          <w:szCs w:val="32"/>
        </w:rPr>
        <w:t xml:space="preserve">    2021</w:t>
      </w:r>
      <w:r>
        <w:rPr>
          <w:rFonts w:hint="eastAsia" w:eastAsia="仿宋_GB2312"/>
          <w:sz w:val="32"/>
          <w:szCs w:val="32"/>
        </w:rPr>
        <w:t>年</w:t>
      </w:r>
      <w:r>
        <w:rPr>
          <w:rFonts w:eastAsia="仿宋_GB2312"/>
          <w:sz w:val="32"/>
          <w:szCs w:val="32"/>
        </w:rPr>
        <w:t>6</w:t>
      </w:r>
      <w:r>
        <w:rPr>
          <w:rFonts w:hint="eastAsia" w:eastAsia="仿宋_GB2312"/>
          <w:sz w:val="32"/>
          <w:szCs w:val="32"/>
        </w:rPr>
        <w:t>月</w:t>
      </w:r>
      <w:r>
        <w:rPr>
          <w:rFonts w:eastAsia="仿宋_GB2312"/>
          <w:sz w:val="32"/>
          <w:szCs w:val="32"/>
        </w:rPr>
        <w:t>20</w:t>
      </w:r>
      <w:r>
        <w:rPr>
          <w:rFonts w:hint="eastAsia" w:eastAsia="仿宋_GB2312"/>
          <w:sz w:val="32"/>
          <w:szCs w:val="32"/>
        </w:rPr>
        <w:t>日前，各考区要全面开展一次中考考务管理排查，切实排除各类风险隐患，确保考务组织管理工作安全有序。</w:t>
      </w:r>
    </w:p>
    <w:p>
      <w:pPr>
        <w:spacing w:line="570" w:lineRule="exact"/>
        <w:rPr>
          <w:rFonts w:eastAsia="楷体_GB2312"/>
          <w:b/>
          <w:kern w:val="0"/>
          <w:sz w:val="32"/>
          <w:szCs w:val="32"/>
        </w:rPr>
      </w:pPr>
      <w:r>
        <w:rPr>
          <w:rFonts w:eastAsia="仿宋_GB2312"/>
          <w:sz w:val="32"/>
          <w:szCs w:val="32"/>
        </w:rPr>
        <w:t xml:space="preserve">    </w:t>
      </w:r>
      <w:r>
        <w:rPr>
          <w:rFonts w:hint="eastAsia" w:eastAsia="楷体_GB2312"/>
          <w:b/>
          <w:kern w:val="0"/>
          <w:sz w:val="32"/>
          <w:szCs w:val="32"/>
        </w:rPr>
        <w:t>（三）规范招生管理，维护招生秩序</w:t>
      </w:r>
    </w:p>
    <w:p>
      <w:pPr>
        <w:adjustRightInd w:val="0"/>
        <w:snapToGrid w:val="0"/>
        <w:spacing w:line="570" w:lineRule="exact"/>
        <w:rPr>
          <w:rFonts w:eastAsia="仿宋_GB2312"/>
          <w:kern w:val="0"/>
          <w:sz w:val="32"/>
          <w:szCs w:val="32"/>
        </w:rPr>
      </w:pPr>
      <w:r>
        <w:rPr>
          <w:rFonts w:eastAsia="仿宋_GB2312"/>
          <w:sz w:val="32"/>
          <w:szCs w:val="32"/>
        </w:rPr>
        <w:t xml:space="preserve">    </w:t>
      </w:r>
      <w:r>
        <w:rPr>
          <w:rFonts w:hint="eastAsia" w:eastAsia="仿宋_GB2312"/>
          <w:b/>
          <w:kern w:val="0"/>
          <w:sz w:val="32"/>
          <w:szCs w:val="32"/>
        </w:rPr>
        <w:t>一是维护中招工作的统一性和严肃性。</w:t>
      </w:r>
      <w:r>
        <w:rPr>
          <w:rFonts w:hint="eastAsia" w:eastAsia="仿宋_GB2312"/>
          <w:sz w:val="32"/>
          <w:szCs w:val="32"/>
          <w:lang w:val="zh-CN"/>
        </w:rPr>
        <w:t>各县区和学校要严格按照河南省中招考试方案要求，未经市教育局批准不得单独组织招生考试，</w:t>
      </w:r>
      <w:r>
        <w:rPr>
          <w:rFonts w:hint="eastAsia" w:eastAsia="仿宋_GB2312"/>
          <w:sz w:val="32"/>
          <w:szCs w:val="32"/>
        </w:rPr>
        <w:t>不得超计划招生。考生应认真填写《</w:t>
      </w:r>
      <w:r>
        <w:rPr>
          <w:rFonts w:eastAsia="仿宋_GB2312"/>
          <w:sz w:val="32"/>
          <w:szCs w:val="32"/>
        </w:rPr>
        <w:t>2021</w:t>
      </w:r>
      <w:r>
        <w:rPr>
          <w:rFonts w:hint="eastAsia" w:eastAsia="仿宋_GB2312"/>
          <w:sz w:val="32"/>
          <w:szCs w:val="32"/>
        </w:rPr>
        <w:t>年中招考试承诺书》（附件</w:t>
      </w:r>
      <w:r>
        <w:rPr>
          <w:rFonts w:eastAsia="仿宋_GB2312"/>
          <w:sz w:val="32"/>
          <w:szCs w:val="32"/>
        </w:rPr>
        <w:t>3</w:t>
      </w:r>
      <w:r>
        <w:rPr>
          <w:rFonts w:hint="eastAsia" w:eastAsia="仿宋_GB2312"/>
          <w:sz w:val="32"/>
          <w:szCs w:val="32"/>
        </w:rPr>
        <w:t>），纸质版由考生本人和监护人签字后留存毕业学校备查。</w:t>
      </w:r>
      <w:r>
        <w:rPr>
          <w:rFonts w:hint="eastAsia" w:eastAsia="仿宋_GB2312"/>
          <w:kern w:val="0"/>
          <w:sz w:val="32"/>
          <w:szCs w:val="32"/>
        </w:rPr>
        <w:t>未参加中招考试的学生，一律不能被普通高中录取。未经网上统一录取的学生一律不予注册普通高中学籍。被学校正常录取后未按规定时间报到的考生，视为主动放弃普通高中学业资格，省内一律不予注册普通高中学籍。任何学校不得擅自招收已被其他学校录取的学生。严禁出现人籍分离、空挂学籍、学籍造假等现象，</w:t>
      </w:r>
      <w:r>
        <w:rPr>
          <w:rFonts w:hint="eastAsia" w:eastAsia="仿宋_GB2312"/>
          <w:sz w:val="32"/>
          <w:szCs w:val="32"/>
          <w:lang w:val="zh-CN"/>
        </w:rPr>
        <w:t>各县区和学校</w:t>
      </w:r>
      <w:r>
        <w:rPr>
          <w:rFonts w:hint="eastAsia" w:eastAsia="仿宋_GB2312"/>
          <w:kern w:val="0"/>
          <w:sz w:val="32"/>
          <w:szCs w:val="32"/>
        </w:rPr>
        <w:t>不得为违规跨区域招收的学生办理普通高中学籍。</w:t>
      </w:r>
    </w:p>
    <w:p>
      <w:pPr>
        <w:spacing w:line="570" w:lineRule="exact"/>
        <w:rPr>
          <w:rFonts w:eastAsia="仿宋_GB2312"/>
          <w:kern w:val="0"/>
          <w:sz w:val="32"/>
          <w:szCs w:val="32"/>
        </w:rPr>
      </w:pPr>
      <w:r>
        <w:rPr>
          <w:rFonts w:eastAsia="仿宋_GB2312"/>
          <w:sz w:val="32"/>
          <w:szCs w:val="32"/>
        </w:rPr>
        <w:t xml:space="preserve">    </w:t>
      </w:r>
      <w:r>
        <w:rPr>
          <w:rFonts w:hint="eastAsia" w:eastAsia="仿宋_GB2312"/>
          <w:b/>
          <w:kern w:val="0"/>
          <w:sz w:val="32"/>
          <w:szCs w:val="32"/>
        </w:rPr>
        <w:t>二是维护考生合法权益。</w:t>
      </w:r>
      <w:r>
        <w:rPr>
          <w:rFonts w:hint="eastAsia" w:eastAsia="仿宋_GB2312"/>
          <w:sz w:val="32"/>
          <w:szCs w:val="32"/>
          <w:lang w:val="zh-CN"/>
        </w:rPr>
        <w:t>各县区和初中学校要</w:t>
      </w:r>
      <w:r>
        <w:rPr>
          <w:rFonts w:hint="eastAsia" w:eastAsia="仿宋_GB2312"/>
          <w:kern w:val="0"/>
          <w:sz w:val="32"/>
          <w:szCs w:val="32"/>
        </w:rPr>
        <w:t>认真执行《教育部办公厅关于做好初中毕业升学考试报名工作的通知》（教基二厅函〔</w:t>
      </w:r>
      <w:r>
        <w:rPr>
          <w:rFonts w:eastAsia="仿宋_GB2312"/>
          <w:kern w:val="0"/>
          <w:sz w:val="32"/>
          <w:szCs w:val="32"/>
        </w:rPr>
        <w:t>2010</w:t>
      </w:r>
      <w:r>
        <w:rPr>
          <w:rFonts w:hint="eastAsia" w:eastAsia="仿宋_GB2312"/>
          <w:kern w:val="0"/>
          <w:sz w:val="32"/>
          <w:szCs w:val="32"/>
        </w:rPr>
        <w:t>〕</w:t>
      </w:r>
      <w:r>
        <w:rPr>
          <w:rFonts w:eastAsia="仿宋_GB2312"/>
          <w:kern w:val="0"/>
          <w:sz w:val="32"/>
          <w:szCs w:val="32"/>
        </w:rPr>
        <w:t>10</w:t>
      </w:r>
      <w:r>
        <w:rPr>
          <w:rFonts w:hint="eastAsia" w:eastAsia="仿宋_GB2312"/>
          <w:kern w:val="0"/>
          <w:sz w:val="32"/>
          <w:szCs w:val="32"/>
        </w:rPr>
        <w:t>号）要求，不得限制学生报名，严禁强迫学生违背本人意愿填写志愿，不得采取任何不正当的手段争抢生源，杜绝违规招生。</w:t>
      </w:r>
    </w:p>
    <w:p>
      <w:pPr>
        <w:spacing w:line="570" w:lineRule="exact"/>
        <w:rPr>
          <w:rFonts w:eastAsia="仿宋_GB2312"/>
          <w:sz w:val="32"/>
          <w:szCs w:val="32"/>
        </w:rPr>
      </w:pPr>
      <w:r>
        <w:rPr>
          <w:rFonts w:eastAsia="仿宋_GB2312"/>
          <w:sz w:val="32"/>
          <w:szCs w:val="32"/>
        </w:rPr>
        <w:t xml:space="preserve">    </w:t>
      </w:r>
      <w:r>
        <w:rPr>
          <w:rFonts w:hint="eastAsia" w:eastAsia="仿宋_GB2312"/>
          <w:b/>
          <w:kern w:val="0"/>
          <w:sz w:val="32"/>
          <w:szCs w:val="32"/>
        </w:rPr>
        <w:t>三是严格执行收费政策。</w:t>
      </w:r>
      <w:r>
        <w:rPr>
          <w:rFonts w:hint="eastAsia" w:eastAsia="仿宋_GB2312"/>
          <w:sz w:val="32"/>
          <w:szCs w:val="32"/>
          <w:lang w:val="zh-CN"/>
        </w:rPr>
        <w:t>各普通高中学校严格</w:t>
      </w:r>
      <w:r>
        <w:rPr>
          <w:rFonts w:hint="eastAsia" w:eastAsia="仿宋_GB2312"/>
          <w:kern w:val="0"/>
          <w:sz w:val="32"/>
          <w:szCs w:val="32"/>
        </w:rPr>
        <w:t>按照国家和省市有关部门规定的收费项目、标准和办法进行收费，任何单位和学校不准违规收费。严禁以借读生、代培生、旁听生等名义招生并收费；严禁向学生收取赞助费、建校费、捐资助学费等。</w:t>
      </w:r>
      <w:r>
        <w:rPr>
          <w:rFonts w:eastAsia="仿宋_GB2312"/>
          <w:kern w:val="0"/>
          <w:sz w:val="32"/>
          <w:szCs w:val="32"/>
        </w:rPr>
        <w:t xml:space="preserve"> </w:t>
      </w:r>
    </w:p>
    <w:p>
      <w:pPr>
        <w:spacing w:line="570" w:lineRule="exact"/>
        <w:rPr>
          <w:rFonts w:eastAsia="仿宋_GB2312"/>
          <w:kern w:val="0"/>
          <w:sz w:val="32"/>
          <w:szCs w:val="32"/>
        </w:rPr>
      </w:pPr>
      <w:r>
        <w:rPr>
          <w:rFonts w:eastAsia="仿宋_GB2312"/>
          <w:sz w:val="32"/>
          <w:szCs w:val="32"/>
        </w:rPr>
        <w:t xml:space="preserve">    </w:t>
      </w:r>
      <w:r>
        <w:rPr>
          <w:rFonts w:hint="eastAsia" w:eastAsia="仿宋_GB2312"/>
          <w:b/>
          <w:bCs/>
          <w:sz w:val="32"/>
          <w:szCs w:val="32"/>
        </w:rPr>
        <w:t>四</w:t>
      </w:r>
      <w:r>
        <w:rPr>
          <w:rFonts w:hint="eastAsia" w:eastAsia="仿宋_GB2312"/>
          <w:b/>
          <w:bCs/>
          <w:kern w:val="0"/>
          <w:sz w:val="32"/>
          <w:szCs w:val="32"/>
        </w:rPr>
        <w:t>是加强考生报考资格审查管理。</w:t>
      </w:r>
      <w:r>
        <w:rPr>
          <w:rFonts w:hint="eastAsia" w:eastAsia="仿宋_GB2312"/>
          <w:kern w:val="0"/>
          <w:sz w:val="32"/>
          <w:szCs w:val="32"/>
        </w:rPr>
        <w:t>对顶替他人学籍报考分配生、弄虚作假获得照顾资格等一经查实，对考生按照教育部《关于国家教育考试违规处理办法的决定》认定为考试作弊处理。</w:t>
      </w:r>
    </w:p>
    <w:p>
      <w:pPr>
        <w:adjustRightInd w:val="0"/>
        <w:snapToGrid w:val="0"/>
        <w:spacing w:line="570" w:lineRule="exact"/>
        <w:ind w:firstLine="640" w:firstLineChars="200"/>
        <w:rPr>
          <w:rFonts w:eastAsia="仿宋_GB2312"/>
          <w:kern w:val="0"/>
          <w:sz w:val="32"/>
          <w:szCs w:val="32"/>
        </w:rPr>
      </w:pPr>
      <w:r>
        <w:rPr>
          <w:rFonts w:hint="eastAsia" w:eastAsia="仿宋_GB2312"/>
          <w:kern w:val="0"/>
          <w:sz w:val="32"/>
          <w:szCs w:val="32"/>
        </w:rPr>
        <w:t>各县区要</w:t>
      </w:r>
      <w:r>
        <w:rPr>
          <w:rFonts w:hint="eastAsia" w:eastAsia="仿宋_GB2312"/>
          <w:sz w:val="32"/>
          <w:szCs w:val="32"/>
        </w:rPr>
        <w:t>依托省中招平台进行信息采集、志愿填报、成绩发布、招生录取、学籍注册等工作，</w:t>
      </w:r>
      <w:r>
        <w:rPr>
          <w:rFonts w:hint="eastAsia" w:eastAsia="仿宋_GB2312"/>
          <w:kern w:val="0"/>
          <w:sz w:val="32"/>
          <w:szCs w:val="32"/>
        </w:rPr>
        <w:t>加强对招生情况的监控和管理，实行阳光招生，保证中招工作的公开、公平、公正。</w:t>
      </w:r>
    </w:p>
    <w:p>
      <w:pPr>
        <w:adjustRightInd w:val="0"/>
        <w:snapToGrid w:val="0"/>
        <w:spacing w:line="570" w:lineRule="exact"/>
        <w:ind w:firstLine="640" w:firstLineChars="200"/>
        <w:rPr>
          <w:rFonts w:eastAsia="仿宋_GB2312"/>
          <w:kern w:val="0"/>
          <w:sz w:val="32"/>
          <w:szCs w:val="32"/>
        </w:rPr>
      </w:pPr>
      <w:r>
        <w:rPr>
          <w:rFonts w:hint="eastAsia" w:eastAsia="仿宋_GB2312"/>
          <w:kern w:val="0"/>
          <w:sz w:val="32"/>
          <w:szCs w:val="32"/>
        </w:rPr>
        <w:t>任何单位和个人不得以任何形式根据中招考试成绩对学校及学生进行排队或公布名次。严禁给初中学校下达升学指标。</w:t>
      </w:r>
    </w:p>
    <w:p>
      <w:pPr>
        <w:spacing w:line="570" w:lineRule="exact"/>
        <w:rPr>
          <w:rFonts w:eastAsia="楷体_GB2312"/>
          <w:b/>
          <w:sz w:val="32"/>
          <w:szCs w:val="32"/>
        </w:rPr>
      </w:pPr>
      <w:r>
        <w:rPr>
          <w:rFonts w:eastAsia="仿宋_GB2312"/>
          <w:sz w:val="32"/>
          <w:szCs w:val="32"/>
        </w:rPr>
        <w:t xml:space="preserve">    </w:t>
      </w:r>
      <w:r>
        <w:rPr>
          <w:rFonts w:hint="eastAsia" w:eastAsia="楷体_GB2312"/>
          <w:b/>
          <w:kern w:val="0"/>
          <w:sz w:val="32"/>
          <w:szCs w:val="32"/>
        </w:rPr>
        <w:t>（四）重视宣传指导，提高服务水平</w:t>
      </w:r>
    </w:p>
    <w:p>
      <w:pPr>
        <w:adjustRightInd w:val="0"/>
        <w:snapToGrid w:val="0"/>
        <w:spacing w:line="570" w:lineRule="exact"/>
        <w:rPr>
          <w:rFonts w:eastAsia="仿宋_GB2312"/>
          <w:kern w:val="0"/>
          <w:sz w:val="32"/>
          <w:szCs w:val="32"/>
        </w:rPr>
      </w:pPr>
      <w:r>
        <w:rPr>
          <w:rFonts w:eastAsia="仿宋_GB2312"/>
          <w:sz w:val="32"/>
          <w:szCs w:val="32"/>
        </w:rPr>
        <w:t xml:space="preserve">    </w:t>
      </w:r>
      <w:r>
        <w:rPr>
          <w:rFonts w:hint="eastAsia" w:eastAsia="仿宋_GB2312"/>
          <w:kern w:val="0"/>
          <w:sz w:val="32"/>
          <w:szCs w:val="32"/>
        </w:rPr>
        <w:t>各县区和学校要高度重视做好招生政策宣传工作，要通过多种形式及时主动向社会公开招生方案、招生计划、招生范围、招生程序、报名条件、录取结果、咨询方式，确保考生及时了解应知、须知的招生政策和信息。要加强对考生填报志愿的指导，认真做好考生和家长的咨询接待工作，切实提高服务质量和服务水平。要为考生提供更加人性化的考试服务，为残疾人考生等特殊群体平等报名、参加考试提供便利，营造温馨考试环境。</w:t>
      </w:r>
    </w:p>
    <w:p>
      <w:pPr>
        <w:adjustRightInd w:val="0"/>
        <w:snapToGrid w:val="0"/>
        <w:spacing w:line="570" w:lineRule="exact"/>
        <w:rPr>
          <w:rFonts w:eastAsia="仿宋_GB2312"/>
          <w:kern w:val="0"/>
          <w:sz w:val="32"/>
          <w:szCs w:val="32"/>
        </w:rPr>
      </w:pPr>
      <w:r>
        <w:rPr>
          <w:rFonts w:eastAsia="仿宋_GB2312"/>
          <w:kern w:val="0"/>
          <w:sz w:val="32"/>
          <w:szCs w:val="32"/>
        </w:rPr>
        <w:t xml:space="preserve">    </w:t>
      </w:r>
      <w:r>
        <w:rPr>
          <w:rFonts w:hint="eastAsia" w:eastAsia="仿宋_GB2312"/>
          <w:sz w:val="32"/>
          <w:szCs w:val="32"/>
        </w:rPr>
        <w:t>普通高中招生咨询</w:t>
      </w:r>
      <w:r>
        <w:rPr>
          <w:rFonts w:hint="eastAsia" w:eastAsia="仿宋_GB2312"/>
          <w:kern w:val="0"/>
          <w:sz w:val="32"/>
          <w:szCs w:val="32"/>
        </w:rPr>
        <w:t>电话：</w:t>
      </w:r>
      <w:r>
        <w:rPr>
          <w:rFonts w:eastAsia="仿宋_GB2312"/>
          <w:kern w:val="0"/>
          <w:sz w:val="32"/>
          <w:szCs w:val="32"/>
        </w:rPr>
        <w:t xml:space="preserve">3199877    </w:t>
      </w:r>
      <w:r>
        <w:rPr>
          <w:rFonts w:hint="eastAsia" w:eastAsia="仿宋_GB2312"/>
          <w:kern w:val="0"/>
          <w:sz w:val="32"/>
          <w:szCs w:val="32"/>
        </w:rPr>
        <w:t>联系人：安文强</w:t>
      </w:r>
    </w:p>
    <w:p>
      <w:pPr>
        <w:adjustRightInd w:val="0"/>
        <w:snapToGrid w:val="0"/>
        <w:spacing w:line="570" w:lineRule="exact"/>
        <w:rPr>
          <w:rFonts w:eastAsia="仿宋_GB2312"/>
          <w:kern w:val="0"/>
          <w:sz w:val="32"/>
          <w:szCs w:val="32"/>
        </w:rPr>
      </w:pPr>
      <w:r>
        <w:rPr>
          <w:rFonts w:eastAsia="仿宋_GB2312"/>
          <w:kern w:val="0"/>
          <w:sz w:val="32"/>
          <w:szCs w:val="32"/>
        </w:rPr>
        <w:t xml:space="preserve">    </w:t>
      </w:r>
      <w:r>
        <w:rPr>
          <w:rFonts w:hint="eastAsia" w:eastAsia="仿宋_GB2312"/>
          <w:sz w:val="32"/>
          <w:szCs w:val="32"/>
        </w:rPr>
        <w:t>中等职业学校招生咨询</w:t>
      </w:r>
      <w:r>
        <w:rPr>
          <w:rFonts w:hint="eastAsia" w:eastAsia="仿宋_GB2312"/>
          <w:kern w:val="0"/>
          <w:sz w:val="32"/>
          <w:szCs w:val="32"/>
        </w:rPr>
        <w:t>电话：</w:t>
      </w:r>
      <w:r>
        <w:rPr>
          <w:rFonts w:eastAsia="仿宋_GB2312"/>
          <w:sz w:val="32"/>
          <w:szCs w:val="32"/>
        </w:rPr>
        <w:t xml:space="preserve">3199978    </w:t>
      </w:r>
      <w:r>
        <w:rPr>
          <w:rFonts w:hint="eastAsia" w:eastAsia="仿宋_GB2312"/>
          <w:kern w:val="0"/>
          <w:sz w:val="32"/>
          <w:szCs w:val="32"/>
        </w:rPr>
        <w:t>联系人：李睿</w:t>
      </w:r>
    </w:p>
    <w:p>
      <w:pPr>
        <w:adjustRightInd w:val="0"/>
        <w:snapToGrid w:val="0"/>
        <w:spacing w:line="570" w:lineRule="exact"/>
        <w:rPr>
          <w:rFonts w:eastAsia="仿宋_GB2312"/>
          <w:spacing w:val="-28"/>
          <w:sz w:val="32"/>
          <w:szCs w:val="32"/>
        </w:rPr>
      </w:pPr>
      <w:r>
        <w:rPr>
          <w:rFonts w:eastAsia="仿宋_GB2312"/>
          <w:kern w:val="0"/>
          <w:sz w:val="32"/>
          <w:szCs w:val="32"/>
        </w:rPr>
        <w:t xml:space="preserve">    </w:t>
      </w:r>
      <w:r>
        <w:rPr>
          <w:rFonts w:hint="eastAsia" w:eastAsia="仿宋_GB2312"/>
          <w:spacing w:val="-28"/>
          <w:sz w:val="32"/>
          <w:szCs w:val="32"/>
        </w:rPr>
        <w:t>普通中专（含五年制，</w:t>
      </w:r>
      <w:r>
        <w:rPr>
          <w:rFonts w:eastAsia="仿宋_GB2312"/>
          <w:spacing w:val="-28"/>
          <w:sz w:val="32"/>
          <w:szCs w:val="32"/>
        </w:rPr>
        <w:t>3+2</w:t>
      </w:r>
      <w:r>
        <w:rPr>
          <w:rFonts w:hint="eastAsia" w:eastAsia="仿宋_GB2312"/>
          <w:spacing w:val="-28"/>
          <w:sz w:val="32"/>
          <w:szCs w:val="32"/>
        </w:rPr>
        <w:t>）招生咨询</w:t>
      </w:r>
      <w:r>
        <w:rPr>
          <w:rFonts w:hint="eastAsia" w:eastAsia="仿宋_GB2312"/>
          <w:spacing w:val="-28"/>
          <w:kern w:val="0"/>
          <w:sz w:val="32"/>
          <w:szCs w:val="32"/>
        </w:rPr>
        <w:t>电话</w:t>
      </w:r>
      <w:r>
        <w:rPr>
          <w:rFonts w:hint="eastAsia" w:eastAsia="仿宋_GB2312"/>
          <w:spacing w:val="-28"/>
          <w:sz w:val="32"/>
          <w:szCs w:val="32"/>
        </w:rPr>
        <w:t>：</w:t>
      </w:r>
      <w:r>
        <w:rPr>
          <w:rFonts w:eastAsia="仿宋_GB2312"/>
          <w:spacing w:val="-28"/>
          <w:sz w:val="32"/>
          <w:szCs w:val="32"/>
        </w:rPr>
        <w:t xml:space="preserve">3169128   </w:t>
      </w:r>
      <w:r>
        <w:rPr>
          <w:rFonts w:hint="eastAsia" w:eastAsia="仿宋_GB2312"/>
          <w:spacing w:val="-28"/>
          <w:kern w:val="0"/>
          <w:sz w:val="32"/>
          <w:szCs w:val="32"/>
        </w:rPr>
        <w:t>联系人：</w:t>
      </w:r>
      <w:r>
        <w:rPr>
          <w:rFonts w:hint="eastAsia" w:eastAsia="仿宋_GB2312"/>
          <w:spacing w:val="-28"/>
          <w:sz w:val="32"/>
          <w:szCs w:val="32"/>
        </w:rPr>
        <w:t>梁长立</w:t>
      </w:r>
      <w:r>
        <w:rPr>
          <w:rFonts w:eastAsia="仿宋_GB2312"/>
          <w:spacing w:val="-28"/>
          <w:sz w:val="32"/>
          <w:szCs w:val="32"/>
        </w:rPr>
        <w:t xml:space="preserve"> </w:t>
      </w:r>
    </w:p>
    <w:p>
      <w:pPr>
        <w:adjustRightInd w:val="0"/>
        <w:snapToGrid w:val="0"/>
        <w:spacing w:line="570" w:lineRule="exact"/>
        <w:rPr>
          <w:rFonts w:eastAsia="仿宋_GB2312"/>
          <w:kern w:val="0"/>
          <w:sz w:val="32"/>
          <w:szCs w:val="32"/>
        </w:rPr>
      </w:pPr>
    </w:p>
    <w:p>
      <w:pPr>
        <w:adjustRightInd w:val="0"/>
        <w:snapToGrid w:val="0"/>
        <w:spacing w:line="570" w:lineRule="exact"/>
        <w:rPr>
          <w:rFonts w:eastAsia="仿宋_GB2312"/>
          <w:kern w:val="0"/>
          <w:sz w:val="32"/>
          <w:szCs w:val="32"/>
        </w:rPr>
      </w:pPr>
      <w:r>
        <w:rPr>
          <w:rFonts w:eastAsia="仿宋_GB2312"/>
          <w:kern w:val="0"/>
          <w:sz w:val="32"/>
          <w:szCs w:val="32"/>
        </w:rPr>
        <w:t xml:space="preserve">    </w:t>
      </w:r>
      <w:r>
        <w:rPr>
          <w:rFonts w:hint="eastAsia" w:eastAsia="仿宋_GB2312"/>
          <w:kern w:val="0"/>
          <w:sz w:val="32"/>
          <w:szCs w:val="32"/>
        </w:rPr>
        <w:t>附件：</w:t>
      </w:r>
      <w:r>
        <w:rPr>
          <w:rFonts w:eastAsia="仿宋_GB2312"/>
          <w:kern w:val="0"/>
          <w:sz w:val="32"/>
          <w:szCs w:val="32"/>
        </w:rPr>
        <w:t>1</w:t>
      </w:r>
      <w:r>
        <w:rPr>
          <w:rFonts w:hint="eastAsia" w:eastAsia="仿宋_GB2312"/>
          <w:kern w:val="0"/>
          <w:sz w:val="32"/>
          <w:szCs w:val="32"/>
        </w:rPr>
        <w:t>．</w:t>
      </w:r>
      <w:r>
        <w:rPr>
          <w:rFonts w:eastAsia="仿宋_GB2312"/>
          <w:kern w:val="0"/>
          <w:sz w:val="32"/>
          <w:szCs w:val="32"/>
        </w:rPr>
        <w:t>2021</w:t>
      </w:r>
      <w:r>
        <w:rPr>
          <w:rFonts w:hint="eastAsia" w:eastAsia="仿宋_GB2312"/>
          <w:kern w:val="0"/>
          <w:sz w:val="32"/>
          <w:szCs w:val="32"/>
        </w:rPr>
        <w:t>年河南省普通高中招生考试方案</w:t>
      </w:r>
    </w:p>
    <w:p>
      <w:pPr>
        <w:adjustRightInd w:val="0"/>
        <w:snapToGrid w:val="0"/>
        <w:spacing w:line="570" w:lineRule="exact"/>
        <w:rPr>
          <w:rFonts w:eastAsia="仿宋_GB2312"/>
          <w:sz w:val="32"/>
          <w:szCs w:val="32"/>
        </w:rPr>
      </w:pPr>
      <w:r>
        <w:rPr>
          <w:rFonts w:eastAsia="仿宋_GB2312"/>
          <w:sz w:val="32"/>
          <w:szCs w:val="32"/>
        </w:rPr>
        <w:t xml:space="preserve">          </w:t>
      </w:r>
      <w:r>
        <w:rPr>
          <w:rFonts w:eastAsia="仿宋_GB2312"/>
          <w:kern w:val="0"/>
          <w:sz w:val="32"/>
          <w:szCs w:val="32"/>
        </w:rPr>
        <w:t>2</w:t>
      </w:r>
      <w:r>
        <w:rPr>
          <w:rFonts w:hint="eastAsia" w:eastAsia="仿宋_GB2312"/>
          <w:kern w:val="0"/>
          <w:sz w:val="32"/>
          <w:szCs w:val="32"/>
        </w:rPr>
        <w:t>．</w:t>
      </w:r>
      <w:r>
        <w:rPr>
          <w:rFonts w:hint="eastAsia" w:eastAsia="仿宋_GB2312"/>
          <w:sz w:val="32"/>
          <w:szCs w:val="32"/>
        </w:rPr>
        <w:t>河南省中招政策性加分对象和标准</w:t>
      </w:r>
    </w:p>
    <w:p>
      <w:pPr>
        <w:adjustRightInd w:val="0"/>
        <w:snapToGrid w:val="0"/>
        <w:spacing w:line="570" w:lineRule="exact"/>
        <w:ind w:firstLine="1600" w:firstLineChars="500"/>
        <w:rPr>
          <w:rFonts w:eastAsia="仿宋_GB2312"/>
          <w:sz w:val="32"/>
          <w:szCs w:val="32"/>
        </w:rPr>
      </w:pPr>
      <w:r>
        <w:rPr>
          <w:rFonts w:eastAsia="仿宋_GB2312"/>
          <w:sz w:val="32"/>
          <w:szCs w:val="32"/>
        </w:rPr>
        <w:t>3</w:t>
      </w:r>
      <w:r>
        <w:rPr>
          <w:rFonts w:hint="eastAsia" w:eastAsia="仿宋_GB2312"/>
          <w:sz w:val="32"/>
          <w:szCs w:val="32"/>
        </w:rPr>
        <w:t>．</w:t>
      </w:r>
      <w:r>
        <w:rPr>
          <w:rFonts w:eastAsia="仿宋_GB2312"/>
          <w:sz w:val="32"/>
          <w:szCs w:val="32"/>
        </w:rPr>
        <w:t>2021</w:t>
      </w:r>
      <w:r>
        <w:rPr>
          <w:rFonts w:hint="eastAsia" w:eastAsia="仿宋_GB2312"/>
          <w:sz w:val="32"/>
          <w:szCs w:val="32"/>
        </w:rPr>
        <w:t>年中招考试承诺书</w:t>
      </w:r>
    </w:p>
    <w:p>
      <w:pPr>
        <w:adjustRightInd w:val="0"/>
        <w:snapToGrid w:val="0"/>
        <w:spacing w:line="570" w:lineRule="exact"/>
        <w:ind w:firstLine="1600" w:firstLineChars="500"/>
        <w:rPr>
          <w:rFonts w:eastAsia="仿宋_GB2312"/>
          <w:sz w:val="32"/>
          <w:szCs w:val="32"/>
        </w:rPr>
      </w:pPr>
      <w:r>
        <w:rPr>
          <w:rFonts w:eastAsia="仿宋_GB2312"/>
          <w:sz w:val="32"/>
          <w:szCs w:val="32"/>
        </w:rPr>
        <w:t>4</w:t>
      </w:r>
      <w:r>
        <w:rPr>
          <w:rFonts w:hint="eastAsia" w:eastAsia="仿宋_GB2312"/>
          <w:sz w:val="32"/>
          <w:szCs w:val="32"/>
        </w:rPr>
        <w:t>．</w:t>
      </w:r>
      <w:r>
        <w:rPr>
          <w:rFonts w:eastAsia="仿宋_GB2312"/>
          <w:sz w:val="32"/>
          <w:szCs w:val="32"/>
        </w:rPr>
        <w:t>2021</w:t>
      </w:r>
      <w:r>
        <w:rPr>
          <w:rFonts w:hint="eastAsia" w:eastAsia="仿宋_GB2312"/>
          <w:sz w:val="32"/>
          <w:szCs w:val="32"/>
        </w:rPr>
        <w:t>年漯河市普通中专招生生源任务分解表</w:t>
      </w:r>
    </w:p>
    <w:p>
      <w:pPr>
        <w:rPr>
          <w:rFonts w:eastAsia="仿宋_GB2312"/>
          <w:sz w:val="32"/>
          <w:szCs w:val="32"/>
        </w:rPr>
      </w:pPr>
      <w:r>
        <w:drawing>
          <wp:anchor distT="0" distB="0" distL="114300" distR="114300" simplePos="0" relativeHeight="251662336" behindDoc="1" locked="0" layoutInCell="1" allowOverlap="1">
            <wp:simplePos x="0" y="0"/>
            <wp:positionH relativeFrom="column">
              <wp:posOffset>3200400</wp:posOffset>
            </wp:positionH>
            <wp:positionV relativeFrom="paragraph">
              <wp:posOffset>15240</wp:posOffset>
            </wp:positionV>
            <wp:extent cx="1619885" cy="1619885"/>
            <wp:effectExtent l="0" t="0" r="18415" b="18415"/>
            <wp:wrapNone/>
            <wp:docPr id="4" name="图片 3"/>
            <wp:cNvGraphicFramePr/>
            <a:graphic xmlns:a="http://schemas.openxmlformats.org/drawingml/2006/main">
              <a:graphicData uri="http://schemas.openxmlformats.org/drawingml/2006/picture">
                <pic:pic xmlns:pic="http://schemas.openxmlformats.org/drawingml/2006/picture">
                  <pic:nvPicPr>
                    <pic:cNvPr id="4" name="图片 3"/>
                    <pic:cNvPicPr preferRelativeResize="0"/>
                  </pic:nvPicPr>
                  <pic:blipFill>
                    <a:blip r:embed="rId8"/>
                    <a:stretch>
                      <a:fillRect/>
                    </a:stretch>
                  </pic:blipFill>
                  <pic:spPr>
                    <a:xfrm>
                      <a:off x="0" y="0"/>
                      <a:ext cx="1619885" cy="1619885"/>
                    </a:xfrm>
                    <a:prstGeom prst="rect">
                      <a:avLst/>
                    </a:prstGeom>
                    <a:noFill/>
                    <a:ln>
                      <a:noFill/>
                    </a:ln>
                  </pic:spPr>
                </pic:pic>
              </a:graphicData>
            </a:graphic>
          </wp:anchor>
        </w:drawing>
      </w:r>
    </w:p>
    <w:p>
      <w:pPr>
        <w:rPr>
          <w:rFonts w:eastAsia="仿宋_GB2312"/>
          <w:sz w:val="32"/>
          <w:szCs w:val="32"/>
        </w:rPr>
      </w:pPr>
    </w:p>
    <w:p>
      <w:pPr>
        <w:rPr>
          <w:rFonts w:eastAsia="仿宋_GB2312"/>
          <w:sz w:val="32"/>
          <w:szCs w:val="32"/>
        </w:rPr>
      </w:pPr>
    </w:p>
    <w:p>
      <w:pPr>
        <w:adjustRightInd w:val="0"/>
        <w:snapToGrid w:val="0"/>
        <w:spacing w:line="570" w:lineRule="exact"/>
        <w:rPr>
          <w:rFonts w:eastAsia="仿宋_GB2312"/>
          <w:kern w:val="0"/>
          <w:sz w:val="32"/>
          <w:szCs w:val="32"/>
        </w:rPr>
      </w:pPr>
      <w:r>
        <w:rPr>
          <w:rFonts w:eastAsia="仿宋_GB2312"/>
          <w:sz w:val="32"/>
          <w:szCs w:val="32"/>
        </w:rPr>
        <w:t xml:space="preserve">                               </w:t>
      </w:r>
      <w:r>
        <w:rPr>
          <w:rFonts w:eastAsia="仿宋_GB2312"/>
          <w:kern w:val="0"/>
          <w:sz w:val="32"/>
          <w:szCs w:val="32"/>
        </w:rPr>
        <w:t>2021</w:t>
      </w:r>
      <w:r>
        <w:rPr>
          <w:rFonts w:hint="eastAsia" w:eastAsia="仿宋_GB2312"/>
          <w:kern w:val="0"/>
          <w:sz w:val="32"/>
          <w:szCs w:val="32"/>
        </w:rPr>
        <w:t>年</w:t>
      </w:r>
      <w:r>
        <w:rPr>
          <w:rFonts w:eastAsia="仿宋_GB2312"/>
          <w:kern w:val="0"/>
          <w:sz w:val="32"/>
          <w:szCs w:val="32"/>
        </w:rPr>
        <w:t>5</w:t>
      </w:r>
      <w:r>
        <w:rPr>
          <w:rFonts w:hint="eastAsia" w:eastAsia="仿宋_GB2312"/>
          <w:kern w:val="0"/>
          <w:sz w:val="32"/>
          <w:szCs w:val="32"/>
        </w:rPr>
        <w:t>月</w:t>
      </w:r>
      <w:r>
        <w:rPr>
          <w:rFonts w:eastAsia="仿宋_GB2312"/>
          <w:kern w:val="0"/>
          <w:sz w:val="32"/>
          <w:szCs w:val="32"/>
        </w:rPr>
        <w:t>26</w:t>
      </w:r>
      <w:r>
        <w:rPr>
          <w:rFonts w:hint="eastAsia" w:eastAsia="仿宋_GB2312"/>
          <w:kern w:val="0"/>
          <w:sz w:val="32"/>
          <w:szCs w:val="32"/>
        </w:rPr>
        <w:t>日</w:t>
      </w:r>
      <w:r>
        <w:rPr>
          <w:rFonts w:eastAsia="仿宋_GB2312"/>
          <w:kern w:val="0"/>
          <w:sz w:val="32"/>
          <w:szCs w:val="32"/>
        </w:rPr>
        <w:t xml:space="preserve">      </w:t>
      </w:r>
      <w:bookmarkEnd w:id="2"/>
      <w:r>
        <w:rPr>
          <w:rFonts w:eastAsia="仿宋_GB2312"/>
          <w:kern w:val="0"/>
          <w:sz w:val="32"/>
          <w:szCs w:val="32"/>
        </w:rPr>
        <w:t xml:space="preserve">  </w:t>
      </w:r>
    </w:p>
    <w:p>
      <w:pPr>
        <w:tabs>
          <w:tab w:val="left" w:pos="2200"/>
        </w:tabs>
        <w:spacing w:line="590" w:lineRule="exact"/>
        <w:rPr>
          <w:rFonts w:eastAsia="黑体"/>
          <w:kern w:val="0"/>
        </w:rPr>
        <w:sectPr>
          <w:footerReference r:id="rId3" w:type="default"/>
          <w:footerReference r:id="rId4" w:type="even"/>
          <w:pgSz w:w="11906" w:h="16838"/>
          <w:pgMar w:top="1701" w:right="1304" w:bottom="1134" w:left="1304" w:header="1134" w:footer="1588" w:gutter="284"/>
          <w:cols w:space="720" w:num="1"/>
          <w:docGrid w:linePitch="587" w:charSpace="2004"/>
        </w:sectPr>
      </w:pPr>
    </w:p>
    <w:p>
      <w:pPr>
        <w:spacing w:line="560" w:lineRule="exact"/>
        <w:rPr>
          <w:rFonts w:eastAsia="黑体"/>
          <w:kern w:val="0"/>
          <w:sz w:val="32"/>
          <w:szCs w:val="32"/>
        </w:rPr>
      </w:pPr>
      <w:r>
        <w:rPr>
          <w:rFonts w:hint="eastAsia" w:eastAsia="黑体"/>
          <w:kern w:val="0"/>
          <w:sz w:val="32"/>
          <w:szCs w:val="32"/>
        </w:rPr>
        <w:t>附件</w:t>
      </w:r>
      <w:r>
        <w:rPr>
          <w:rFonts w:eastAsia="黑体"/>
          <w:kern w:val="0"/>
          <w:sz w:val="32"/>
          <w:szCs w:val="32"/>
        </w:rPr>
        <w:t>1</w:t>
      </w:r>
    </w:p>
    <w:p>
      <w:pPr>
        <w:spacing w:line="500" w:lineRule="exact"/>
        <w:rPr>
          <w:rFonts w:eastAsia="黑体"/>
          <w:kern w:val="0"/>
          <w:sz w:val="32"/>
          <w:szCs w:val="32"/>
        </w:rPr>
      </w:pPr>
    </w:p>
    <w:p>
      <w:pPr>
        <w:snapToGrid w:val="0"/>
        <w:ind w:firstLine="905"/>
        <w:rPr>
          <w:rFonts w:eastAsia="方正小标宋简体"/>
          <w:kern w:val="0"/>
          <w:sz w:val="44"/>
          <w:szCs w:val="44"/>
        </w:rPr>
      </w:pPr>
      <w:r>
        <w:rPr>
          <w:rFonts w:eastAsia="方正小标宋简体"/>
          <w:kern w:val="0"/>
          <w:sz w:val="44"/>
          <w:szCs w:val="44"/>
        </w:rPr>
        <w:t>2021</w:t>
      </w:r>
      <w:r>
        <w:rPr>
          <w:rFonts w:hint="eastAsia" w:eastAsia="方正小标宋简体"/>
          <w:kern w:val="0"/>
          <w:sz w:val="44"/>
          <w:szCs w:val="44"/>
        </w:rPr>
        <w:t>年河南省普通高中招生考试方案</w:t>
      </w:r>
    </w:p>
    <w:p>
      <w:pPr>
        <w:snapToGrid w:val="0"/>
        <w:spacing w:line="400" w:lineRule="exact"/>
        <w:rPr>
          <w:rFonts w:eastAsia="方正小标宋简体"/>
          <w:kern w:val="0"/>
          <w:sz w:val="44"/>
          <w:szCs w:val="44"/>
        </w:rPr>
      </w:pPr>
    </w:p>
    <w:p>
      <w:pPr>
        <w:snapToGrid w:val="0"/>
        <w:ind w:firstLine="225"/>
        <w:jc w:val="center"/>
        <w:rPr>
          <w:rFonts w:eastAsia="方正小标宋简体"/>
          <w:kern w:val="0"/>
          <w:sz w:val="10"/>
          <w:szCs w:val="10"/>
        </w:rPr>
      </w:pPr>
    </w:p>
    <w:tbl>
      <w:tblPr>
        <w:tblStyle w:val="11"/>
        <w:tblW w:w="8963" w:type="dxa"/>
        <w:jc w:val="center"/>
        <w:tblLayout w:type="fixed"/>
        <w:tblCellMar>
          <w:top w:w="0" w:type="dxa"/>
          <w:left w:w="0" w:type="dxa"/>
          <w:bottom w:w="0" w:type="dxa"/>
          <w:right w:w="0" w:type="dxa"/>
        </w:tblCellMar>
      </w:tblPr>
      <w:tblGrid>
        <w:gridCol w:w="1131"/>
        <w:gridCol w:w="481"/>
        <w:gridCol w:w="1694"/>
        <w:gridCol w:w="1078"/>
        <w:gridCol w:w="1484"/>
        <w:gridCol w:w="671"/>
        <w:gridCol w:w="2424"/>
      </w:tblGrid>
      <w:tr>
        <w:tblPrEx>
          <w:tblCellMar>
            <w:top w:w="0" w:type="dxa"/>
            <w:left w:w="0" w:type="dxa"/>
            <w:bottom w:w="0" w:type="dxa"/>
            <w:right w:w="0" w:type="dxa"/>
          </w:tblCellMar>
        </w:tblPrEx>
        <w:trPr>
          <w:trHeight w:val="851" w:hRule="atLeast"/>
          <w:jc w:val="center"/>
        </w:trPr>
        <w:tc>
          <w:tcPr>
            <w:tcW w:w="1131" w:type="dxa"/>
            <w:tcBorders>
              <w:top w:val="single" w:color="auto" w:sz="8" w:space="0"/>
              <w:left w:val="single" w:color="auto" w:sz="8" w:space="0"/>
              <w:bottom w:val="single" w:color="000000" w:sz="6" w:space="0"/>
              <w:right w:val="single" w:color="000000" w:sz="6" w:space="0"/>
            </w:tcBorders>
            <w:vAlign w:val="center"/>
          </w:tcPr>
          <w:p>
            <w:pPr>
              <w:snapToGrid w:val="0"/>
              <w:jc w:val="center"/>
              <w:rPr>
                <w:rFonts w:eastAsia="黑体"/>
                <w:spacing w:val="-12"/>
                <w:kern w:val="0"/>
                <w:sz w:val="24"/>
                <w:szCs w:val="24"/>
              </w:rPr>
            </w:pPr>
            <w:r>
              <w:rPr>
                <w:rFonts w:hint="eastAsia" w:eastAsia="黑体"/>
                <w:spacing w:val="-12"/>
                <w:kern w:val="0"/>
                <w:sz w:val="24"/>
                <w:szCs w:val="24"/>
              </w:rPr>
              <w:t>日</w:t>
            </w:r>
            <w:r>
              <w:rPr>
                <w:rFonts w:eastAsia="黑体"/>
                <w:spacing w:val="-12"/>
                <w:kern w:val="0"/>
                <w:sz w:val="24"/>
                <w:szCs w:val="24"/>
              </w:rPr>
              <w:t xml:space="preserve"> </w:t>
            </w:r>
            <w:r>
              <w:rPr>
                <w:rFonts w:hint="eastAsia" w:eastAsia="黑体"/>
                <w:spacing w:val="-12"/>
                <w:kern w:val="0"/>
                <w:sz w:val="24"/>
                <w:szCs w:val="24"/>
              </w:rPr>
              <w:t>期</w:t>
            </w:r>
          </w:p>
        </w:tc>
        <w:tc>
          <w:tcPr>
            <w:tcW w:w="3253" w:type="dxa"/>
            <w:gridSpan w:val="3"/>
            <w:tcBorders>
              <w:top w:val="single" w:color="auto" w:sz="8" w:space="0"/>
              <w:left w:val="nil"/>
              <w:bottom w:val="single" w:color="000000" w:sz="6" w:space="0"/>
              <w:right w:val="single" w:color="000000" w:sz="6" w:space="0"/>
            </w:tcBorders>
            <w:vAlign w:val="center"/>
          </w:tcPr>
          <w:p>
            <w:pPr>
              <w:snapToGrid w:val="0"/>
              <w:jc w:val="center"/>
              <w:rPr>
                <w:rFonts w:eastAsia="黑体"/>
                <w:spacing w:val="-12"/>
                <w:kern w:val="0"/>
                <w:sz w:val="24"/>
                <w:szCs w:val="24"/>
              </w:rPr>
            </w:pPr>
            <w:r>
              <w:rPr>
                <w:rFonts w:hint="eastAsia" w:eastAsia="黑体"/>
                <w:spacing w:val="-12"/>
                <w:kern w:val="0"/>
                <w:sz w:val="24"/>
                <w:szCs w:val="24"/>
              </w:rPr>
              <w:t>时</w:t>
            </w:r>
            <w:r>
              <w:rPr>
                <w:rFonts w:eastAsia="黑体"/>
                <w:spacing w:val="-12"/>
                <w:kern w:val="0"/>
                <w:sz w:val="24"/>
                <w:szCs w:val="24"/>
              </w:rPr>
              <w:t xml:space="preserve"> </w:t>
            </w:r>
            <w:r>
              <w:rPr>
                <w:rFonts w:hint="eastAsia" w:eastAsia="黑体"/>
                <w:spacing w:val="-12"/>
                <w:kern w:val="0"/>
                <w:sz w:val="24"/>
                <w:szCs w:val="24"/>
              </w:rPr>
              <w:t>间</w:t>
            </w:r>
          </w:p>
        </w:tc>
        <w:tc>
          <w:tcPr>
            <w:tcW w:w="1484" w:type="dxa"/>
            <w:tcBorders>
              <w:top w:val="single" w:color="auto" w:sz="8" w:space="0"/>
              <w:left w:val="nil"/>
              <w:bottom w:val="single" w:color="000000" w:sz="6" w:space="0"/>
              <w:right w:val="single" w:color="000000" w:sz="6" w:space="0"/>
            </w:tcBorders>
            <w:vAlign w:val="center"/>
          </w:tcPr>
          <w:p>
            <w:pPr>
              <w:snapToGrid w:val="0"/>
              <w:jc w:val="center"/>
              <w:rPr>
                <w:rFonts w:eastAsia="黑体"/>
                <w:spacing w:val="-12"/>
                <w:kern w:val="0"/>
                <w:sz w:val="24"/>
                <w:szCs w:val="24"/>
              </w:rPr>
            </w:pPr>
            <w:r>
              <w:rPr>
                <w:rFonts w:hint="eastAsia" w:eastAsia="黑体"/>
                <w:spacing w:val="-12"/>
                <w:kern w:val="0"/>
                <w:sz w:val="24"/>
                <w:szCs w:val="24"/>
              </w:rPr>
              <w:t>科目</w:t>
            </w:r>
          </w:p>
        </w:tc>
        <w:tc>
          <w:tcPr>
            <w:tcW w:w="671" w:type="dxa"/>
            <w:tcBorders>
              <w:top w:val="single" w:color="auto" w:sz="8" w:space="0"/>
              <w:left w:val="nil"/>
              <w:bottom w:val="single" w:color="000000" w:sz="6" w:space="0"/>
              <w:right w:val="single" w:color="000000" w:sz="6" w:space="0"/>
            </w:tcBorders>
            <w:vAlign w:val="center"/>
          </w:tcPr>
          <w:p>
            <w:pPr>
              <w:snapToGrid w:val="0"/>
              <w:jc w:val="center"/>
              <w:rPr>
                <w:rFonts w:eastAsia="黑体"/>
                <w:spacing w:val="-12"/>
                <w:kern w:val="0"/>
                <w:sz w:val="24"/>
                <w:szCs w:val="24"/>
              </w:rPr>
            </w:pPr>
            <w:r>
              <w:rPr>
                <w:rFonts w:hint="eastAsia" w:eastAsia="黑体"/>
                <w:spacing w:val="-12"/>
                <w:kern w:val="0"/>
                <w:sz w:val="24"/>
                <w:szCs w:val="24"/>
              </w:rPr>
              <w:t>分值</w:t>
            </w:r>
          </w:p>
        </w:tc>
        <w:tc>
          <w:tcPr>
            <w:tcW w:w="2424" w:type="dxa"/>
            <w:tcBorders>
              <w:top w:val="single" w:color="auto" w:sz="8" w:space="0"/>
              <w:left w:val="nil"/>
              <w:bottom w:val="single" w:color="000000" w:sz="6" w:space="0"/>
              <w:right w:val="single" w:color="auto" w:sz="8" w:space="0"/>
            </w:tcBorders>
            <w:vAlign w:val="center"/>
          </w:tcPr>
          <w:p>
            <w:pPr>
              <w:snapToGrid w:val="0"/>
              <w:jc w:val="center"/>
              <w:rPr>
                <w:rFonts w:eastAsia="黑体"/>
                <w:spacing w:val="-12"/>
                <w:kern w:val="0"/>
                <w:sz w:val="24"/>
                <w:szCs w:val="24"/>
              </w:rPr>
            </w:pPr>
            <w:r>
              <w:rPr>
                <w:rFonts w:hint="eastAsia" w:eastAsia="黑体"/>
                <w:spacing w:val="-12"/>
                <w:kern w:val="0"/>
                <w:sz w:val="24"/>
                <w:szCs w:val="24"/>
              </w:rPr>
              <w:t>备</w:t>
            </w:r>
            <w:r>
              <w:rPr>
                <w:rFonts w:eastAsia="黑体"/>
                <w:spacing w:val="-12"/>
                <w:kern w:val="0"/>
                <w:sz w:val="24"/>
                <w:szCs w:val="24"/>
              </w:rPr>
              <w:t xml:space="preserve"> </w:t>
            </w:r>
            <w:r>
              <w:rPr>
                <w:rFonts w:hint="eastAsia" w:eastAsia="黑体"/>
                <w:spacing w:val="-12"/>
                <w:kern w:val="0"/>
                <w:sz w:val="24"/>
                <w:szCs w:val="24"/>
              </w:rPr>
              <w:t>注</w:t>
            </w:r>
          </w:p>
        </w:tc>
      </w:tr>
      <w:tr>
        <w:tblPrEx>
          <w:tblCellMar>
            <w:top w:w="0" w:type="dxa"/>
            <w:left w:w="0" w:type="dxa"/>
            <w:bottom w:w="0" w:type="dxa"/>
            <w:right w:w="0" w:type="dxa"/>
          </w:tblCellMar>
        </w:tblPrEx>
        <w:trPr>
          <w:trHeight w:val="1006" w:hRule="atLeast"/>
          <w:jc w:val="center"/>
        </w:trPr>
        <w:tc>
          <w:tcPr>
            <w:tcW w:w="1131" w:type="dxa"/>
            <w:vMerge w:val="restart"/>
            <w:tcBorders>
              <w:top w:val="nil"/>
              <w:left w:val="single" w:color="auto" w:sz="8" w:space="0"/>
              <w:bottom w:val="single" w:color="000000" w:sz="6" w:space="0"/>
              <w:right w:val="single" w:color="000000" w:sz="6" w:space="0"/>
            </w:tcBorders>
            <w:vAlign w:val="center"/>
          </w:tcPr>
          <w:p>
            <w:pPr>
              <w:snapToGrid w:val="0"/>
              <w:jc w:val="center"/>
              <w:rPr>
                <w:b/>
                <w:spacing w:val="-12"/>
                <w:kern w:val="0"/>
                <w:sz w:val="24"/>
                <w:szCs w:val="24"/>
              </w:rPr>
            </w:pPr>
            <w:r>
              <w:rPr>
                <w:b/>
                <w:spacing w:val="-12"/>
                <w:kern w:val="0"/>
                <w:sz w:val="24"/>
                <w:szCs w:val="24"/>
              </w:rPr>
              <w:t>6</w:t>
            </w:r>
            <w:r>
              <w:rPr>
                <w:rFonts w:hint="eastAsia" w:hAnsi="宋体"/>
                <w:b/>
                <w:spacing w:val="-12"/>
                <w:kern w:val="0"/>
                <w:sz w:val="24"/>
                <w:szCs w:val="24"/>
              </w:rPr>
              <w:t>月</w:t>
            </w:r>
            <w:r>
              <w:rPr>
                <w:b/>
                <w:spacing w:val="-12"/>
                <w:kern w:val="0"/>
                <w:sz w:val="24"/>
                <w:szCs w:val="24"/>
              </w:rPr>
              <w:t>25</w:t>
            </w:r>
            <w:r>
              <w:rPr>
                <w:rFonts w:hint="eastAsia" w:hAnsi="宋体"/>
                <w:b/>
                <w:spacing w:val="-12"/>
                <w:kern w:val="0"/>
                <w:sz w:val="24"/>
                <w:szCs w:val="24"/>
              </w:rPr>
              <w:t>日</w:t>
            </w:r>
          </w:p>
        </w:tc>
        <w:tc>
          <w:tcPr>
            <w:tcW w:w="481" w:type="dxa"/>
            <w:vMerge w:val="restart"/>
            <w:tcBorders>
              <w:top w:val="nil"/>
              <w:left w:val="nil"/>
              <w:bottom w:val="single" w:color="000000" w:sz="6" w:space="0"/>
              <w:right w:val="single" w:color="000000" w:sz="6" w:space="0"/>
            </w:tcBorders>
            <w:vAlign w:val="center"/>
          </w:tcPr>
          <w:p>
            <w:pPr>
              <w:snapToGrid w:val="0"/>
              <w:jc w:val="center"/>
              <w:rPr>
                <w:b/>
                <w:spacing w:val="-12"/>
                <w:kern w:val="0"/>
                <w:sz w:val="24"/>
                <w:szCs w:val="24"/>
              </w:rPr>
            </w:pPr>
            <w:r>
              <w:rPr>
                <w:rFonts w:hint="eastAsia" w:hAnsi="宋体"/>
                <w:b/>
                <w:spacing w:val="-12"/>
                <w:kern w:val="0"/>
                <w:sz w:val="24"/>
                <w:szCs w:val="24"/>
              </w:rPr>
              <w:t>上</w:t>
            </w:r>
          </w:p>
          <w:p>
            <w:pPr>
              <w:snapToGrid w:val="0"/>
              <w:jc w:val="center"/>
              <w:rPr>
                <w:b/>
                <w:spacing w:val="-12"/>
                <w:kern w:val="0"/>
                <w:sz w:val="24"/>
                <w:szCs w:val="24"/>
              </w:rPr>
            </w:pPr>
            <w:r>
              <w:rPr>
                <w:rFonts w:hint="eastAsia" w:hAnsi="宋体"/>
                <w:b/>
                <w:spacing w:val="-12"/>
                <w:kern w:val="0"/>
                <w:sz w:val="24"/>
                <w:szCs w:val="24"/>
              </w:rPr>
              <w:t>午</w:t>
            </w:r>
          </w:p>
        </w:tc>
        <w:tc>
          <w:tcPr>
            <w:tcW w:w="1694" w:type="dxa"/>
            <w:tcBorders>
              <w:top w:val="single" w:color="000000" w:sz="6" w:space="0"/>
              <w:left w:val="nil"/>
              <w:bottom w:val="single" w:color="000000" w:sz="6" w:space="0"/>
              <w:right w:val="single" w:color="000000" w:sz="6" w:space="0"/>
            </w:tcBorders>
            <w:vAlign w:val="center"/>
          </w:tcPr>
          <w:p>
            <w:pPr>
              <w:snapToGrid w:val="0"/>
              <w:jc w:val="center"/>
              <w:rPr>
                <w:b/>
                <w:kern w:val="0"/>
                <w:sz w:val="24"/>
                <w:szCs w:val="24"/>
              </w:rPr>
            </w:pPr>
            <w:r>
              <w:rPr>
                <w:b/>
                <w:kern w:val="0"/>
                <w:sz w:val="24"/>
                <w:szCs w:val="24"/>
              </w:rPr>
              <w:t>8:20—10:20</w:t>
            </w:r>
          </w:p>
        </w:tc>
        <w:tc>
          <w:tcPr>
            <w:tcW w:w="1078" w:type="dxa"/>
            <w:tcBorders>
              <w:top w:val="single" w:color="000000" w:sz="6" w:space="0"/>
              <w:left w:val="nil"/>
              <w:bottom w:val="single" w:color="000000" w:sz="6" w:space="0"/>
              <w:right w:val="single" w:color="000000" w:sz="6" w:space="0"/>
            </w:tcBorders>
            <w:vAlign w:val="center"/>
          </w:tcPr>
          <w:p>
            <w:pPr>
              <w:snapToGrid w:val="0"/>
              <w:jc w:val="center"/>
              <w:rPr>
                <w:b/>
                <w:kern w:val="0"/>
                <w:sz w:val="24"/>
                <w:szCs w:val="24"/>
              </w:rPr>
            </w:pPr>
            <w:r>
              <w:rPr>
                <w:b/>
                <w:kern w:val="0"/>
                <w:sz w:val="24"/>
                <w:szCs w:val="24"/>
              </w:rPr>
              <w:t>120</w:t>
            </w:r>
            <w:r>
              <w:rPr>
                <w:rFonts w:hint="eastAsia" w:hAnsi="宋体"/>
                <w:b/>
                <w:kern w:val="0"/>
                <w:sz w:val="24"/>
                <w:szCs w:val="24"/>
              </w:rPr>
              <w:t>分钟</w:t>
            </w:r>
          </w:p>
        </w:tc>
        <w:tc>
          <w:tcPr>
            <w:tcW w:w="1484" w:type="dxa"/>
            <w:tcBorders>
              <w:top w:val="single" w:color="000000" w:sz="6" w:space="0"/>
              <w:left w:val="nil"/>
              <w:bottom w:val="single" w:color="000000" w:sz="6" w:space="0"/>
              <w:right w:val="single" w:color="000000" w:sz="6" w:space="0"/>
            </w:tcBorders>
            <w:vAlign w:val="center"/>
          </w:tcPr>
          <w:p>
            <w:pPr>
              <w:snapToGrid w:val="0"/>
              <w:jc w:val="center"/>
              <w:rPr>
                <w:b/>
                <w:kern w:val="0"/>
                <w:sz w:val="24"/>
                <w:szCs w:val="24"/>
              </w:rPr>
            </w:pPr>
            <w:r>
              <w:rPr>
                <w:rFonts w:hint="eastAsia" w:hAnsi="宋体"/>
                <w:b/>
                <w:kern w:val="0"/>
                <w:sz w:val="24"/>
                <w:szCs w:val="24"/>
              </w:rPr>
              <w:t>语文</w:t>
            </w:r>
          </w:p>
        </w:tc>
        <w:tc>
          <w:tcPr>
            <w:tcW w:w="671" w:type="dxa"/>
            <w:tcBorders>
              <w:top w:val="single" w:color="000000" w:sz="6" w:space="0"/>
              <w:left w:val="nil"/>
              <w:bottom w:val="single" w:color="000000" w:sz="6" w:space="0"/>
              <w:right w:val="single" w:color="000000" w:sz="6" w:space="0"/>
            </w:tcBorders>
            <w:vAlign w:val="center"/>
          </w:tcPr>
          <w:p>
            <w:pPr>
              <w:snapToGrid w:val="0"/>
              <w:jc w:val="center"/>
              <w:rPr>
                <w:b/>
                <w:kern w:val="0"/>
                <w:sz w:val="24"/>
                <w:szCs w:val="24"/>
              </w:rPr>
            </w:pPr>
            <w:r>
              <w:rPr>
                <w:b/>
                <w:kern w:val="0"/>
                <w:sz w:val="24"/>
                <w:szCs w:val="24"/>
              </w:rPr>
              <w:t>120</w:t>
            </w:r>
          </w:p>
        </w:tc>
        <w:tc>
          <w:tcPr>
            <w:tcW w:w="2424" w:type="dxa"/>
            <w:tcBorders>
              <w:top w:val="single" w:color="000000" w:sz="6" w:space="0"/>
              <w:left w:val="nil"/>
              <w:bottom w:val="single" w:color="000000" w:sz="6" w:space="0"/>
              <w:right w:val="single" w:color="auto" w:sz="8" w:space="0"/>
            </w:tcBorders>
            <w:vAlign w:val="center"/>
          </w:tcPr>
          <w:p>
            <w:pPr>
              <w:snapToGrid w:val="0"/>
              <w:jc w:val="center"/>
              <w:rPr>
                <w:b/>
                <w:spacing w:val="-12"/>
                <w:kern w:val="0"/>
                <w:sz w:val="24"/>
                <w:szCs w:val="24"/>
              </w:rPr>
            </w:pPr>
          </w:p>
        </w:tc>
      </w:tr>
      <w:tr>
        <w:tblPrEx>
          <w:tblCellMar>
            <w:top w:w="0" w:type="dxa"/>
            <w:left w:w="0" w:type="dxa"/>
            <w:bottom w:w="0" w:type="dxa"/>
            <w:right w:w="0" w:type="dxa"/>
          </w:tblCellMar>
        </w:tblPrEx>
        <w:trPr>
          <w:trHeight w:val="1006" w:hRule="atLeast"/>
          <w:jc w:val="center"/>
        </w:trPr>
        <w:tc>
          <w:tcPr>
            <w:tcW w:w="1131" w:type="dxa"/>
            <w:vMerge w:val="continue"/>
            <w:tcBorders>
              <w:top w:val="nil"/>
              <w:left w:val="single" w:color="auto" w:sz="8" w:space="0"/>
              <w:bottom w:val="single" w:color="000000" w:sz="6" w:space="0"/>
              <w:right w:val="single" w:color="000000" w:sz="6" w:space="0"/>
            </w:tcBorders>
            <w:vAlign w:val="center"/>
          </w:tcPr>
          <w:p>
            <w:pPr>
              <w:snapToGrid w:val="0"/>
              <w:jc w:val="center"/>
              <w:rPr>
                <w:b/>
                <w:spacing w:val="-12"/>
                <w:kern w:val="0"/>
                <w:sz w:val="24"/>
                <w:szCs w:val="24"/>
              </w:rPr>
            </w:pPr>
          </w:p>
        </w:tc>
        <w:tc>
          <w:tcPr>
            <w:tcW w:w="481" w:type="dxa"/>
            <w:vMerge w:val="continue"/>
            <w:tcBorders>
              <w:top w:val="nil"/>
              <w:left w:val="nil"/>
              <w:bottom w:val="single" w:color="000000" w:sz="6" w:space="0"/>
              <w:right w:val="single" w:color="000000" w:sz="6" w:space="0"/>
            </w:tcBorders>
            <w:vAlign w:val="center"/>
          </w:tcPr>
          <w:p>
            <w:pPr>
              <w:snapToGrid w:val="0"/>
              <w:jc w:val="center"/>
              <w:rPr>
                <w:b/>
                <w:spacing w:val="-12"/>
                <w:kern w:val="0"/>
                <w:sz w:val="24"/>
                <w:szCs w:val="24"/>
              </w:rPr>
            </w:pPr>
          </w:p>
        </w:tc>
        <w:tc>
          <w:tcPr>
            <w:tcW w:w="1694" w:type="dxa"/>
            <w:tcBorders>
              <w:top w:val="single" w:color="000000" w:sz="6" w:space="0"/>
              <w:left w:val="nil"/>
              <w:bottom w:val="single" w:color="000000" w:sz="6" w:space="0"/>
              <w:right w:val="single" w:color="000000" w:sz="6" w:space="0"/>
            </w:tcBorders>
            <w:vAlign w:val="center"/>
          </w:tcPr>
          <w:p>
            <w:pPr>
              <w:snapToGrid w:val="0"/>
              <w:jc w:val="center"/>
              <w:rPr>
                <w:b/>
                <w:kern w:val="0"/>
                <w:sz w:val="24"/>
                <w:szCs w:val="24"/>
              </w:rPr>
            </w:pPr>
            <w:r>
              <w:rPr>
                <w:b/>
                <w:kern w:val="0"/>
                <w:sz w:val="24"/>
                <w:szCs w:val="24"/>
              </w:rPr>
              <w:t>11:10—12:00</w:t>
            </w:r>
          </w:p>
        </w:tc>
        <w:tc>
          <w:tcPr>
            <w:tcW w:w="1078" w:type="dxa"/>
            <w:tcBorders>
              <w:top w:val="single" w:color="000000" w:sz="6" w:space="0"/>
              <w:left w:val="nil"/>
              <w:bottom w:val="single" w:color="000000" w:sz="6" w:space="0"/>
              <w:right w:val="single" w:color="000000" w:sz="6" w:space="0"/>
            </w:tcBorders>
            <w:vAlign w:val="center"/>
          </w:tcPr>
          <w:p>
            <w:pPr>
              <w:snapToGrid w:val="0"/>
              <w:jc w:val="center"/>
              <w:rPr>
                <w:b/>
                <w:kern w:val="0"/>
                <w:sz w:val="24"/>
                <w:szCs w:val="24"/>
              </w:rPr>
            </w:pPr>
            <w:r>
              <w:rPr>
                <w:b/>
                <w:kern w:val="0"/>
                <w:sz w:val="24"/>
                <w:szCs w:val="24"/>
              </w:rPr>
              <w:t>50</w:t>
            </w:r>
            <w:r>
              <w:rPr>
                <w:rFonts w:hint="eastAsia" w:hAnsi="宋体"/>
                <w:b/>
                <w:kern w:val="0"/>
                <w:sz w:val="24"/>
                <w:szCs w:val="24"/>
              </w:rPr>
              <w:t>分钟</w:t>
            </w:r>
          </w:p>
        </w:tc>
        <w:tc>
          <w:tcPr>
            <w:tcW w:w="1484" w:type="dxa"/>
            <w:tcBorders>
              <w:top w:val="single" w:color="000000" w:sz="6" w:space="0"/>
              <w:left w:val="nil"/>
              <w:bottom w:val="single" w:color="000000" w:sz="6" w:space="0"/>
              <w:right w:val="single" w:color="000000" w:sz="6" w:space="0"/>
            </w:tcBorders>
            <w:vAlign w:val="center"/>
          </w:tcPr>
          <w:p>
            <w:pPr>
              <w:snapToGrid w:val="0"/>
              <w:jc w:val="center"/>
              <w:rPr>
                <w:b/>
                <w:kern w:val="0"/>
                <w:sz w:val="24"/>
                <w:szCs w:val="24"/>
              </w:rPr>
            </w:pPr>
            <w:r>
              <w:rPr>
                <w:rFonts w:hint="eastAsia" w:hAnsi="宋体"/>
                <w:b/>
                <w:kern w:val="0"/>
                <w:sz w:val="24"/>
                <w:szCs w:val="24"/>
              </w:rPr>
              <w:t>历史</w:t>
            </w:r>
          </w:p>
        </w:tc>
        <w:tc>
          <w:tcPr>
            <w:tcW w:w="671" w:type="dxa"/>
            <w:tcBorders>
              <w:top w:val="single" w:color="000000" w:sz="6" w:space="0"/>
              <w:left w:val="nil"/>
              <w:bottom w:val="single" w:color="000000" w:sz="6" w:space="0"/>
              <w:right w:val="single" w:color="000000" w:sz="6" w:space="0"/>
            </w:tcBorders>
            <w:vAlign w:val="center"/>
          </w:tcPr>
          <w:p>
            <w:pPr>
              <w:snapToGrid w:val="0"/>
              <w:jc w:val="center"/>
              <w:rPr>
                <w:b/>
                <w:kern w:val="0"/>
                <w:sz w:val="24"/>
                <w:szCs w:val="24"/>
              </w:rPr>
            </w:pPr>
            <w:r>
              <w:rPr>
                <w:b/>
                <w:kern w:val="0"/>
                <w:sz w:val="24"/>
                <w:szCs w:val="24"/>
              </w:rPr>
              <w:t>50</w:t>
            </w:r>
          </w:p>
        </w:tc>
        <w:tc>
          <w:tcPr>
            <w:tcW w:w="2424" w:type="dxa"/>
            <w:tcBorders>
              <w:top w:val="single" w:color="000000" w:sz="6" w:space="0"/>
              <w:left w:val="nil"/>
              <w:bottom w:val="single" w:color="000000" w:sz="6" w:space="0"/>
              <w:right w:val="single" w:color="auto" w:sz="8" w:space="0"/>
            </w:tcBorders>
            <w:vAlign w:val="center"/>
          </w:tcPr>
          <w:p>
            <w:pPr>
              <w:snapToGrid w:val="0"/>
              <w:rPr>
                <w:b/>
                <w:spacing w:val="-12"/>
                <w:kern w:val="0"/>
                <w:sz w:val="24"/>
                <w:szCs w:val="24"/>
              </w:rPr>
            </w:pPr>
            <w:r>
              <w:rPr>
                <w:rFonts w:hint="eastAsia" w:hAnsi="宋体"/>
                <w:b/>
                <w:spacing w:val="-12"/>
                <w:kern w:val="0"/>
                <w:sz w:val="24"/>
                <w:szCs w:val="24"/>
              </w:rPr>
              <w:t>开卷考试，考生可自带参考资料</w:t>
            </w:r>
          </w:p>
        </w:tc>
      </w:tr>
      <w:tr>
        <w:tblPrEx>
          <w:tblCellMar>
            <w:top w:w="0" w:type="dxa"/>
            <w:left w:w="0" w:type="dxa"/>
            <w:bottom w:w="0" w:type="dxa"/>
            <w:right w:w="0" w:type="dxa"/>
          </w:tblCellMar>
        </w:tblPrEx>
        <w:trPr>
          <w:trHeight w:val="1006" w:hRule="atLeast"/>
          <w:jc w:val="center"/>
        </w:trPr>
        <w:tc>
          <w:tcPr>
            <w:tcW w:w="1131" w:type="dxa"/>
            <w:vMerge w:val="continue"/>
            <w:tcBorders>
              <w:top w:val="nil"/>
              <w:left w:val="single" w:color="auto" w:sz="8" w:space="0"/>
              <w:bottom w:val="single" w:color="000000" w:sz="6" w:space="0"/>
              <w:right w:val="single" w:color="000000" w:sz="6" w:space="0"/>
            </w:tcBorders>
            <w:vAlign w:val="center"/>
          </w:tcPr>
          <w:p>
            <w:pPr>
              <w:snapToGrid w:val="0"/>
              <w:jc w:val="center"/>
              <w:rPr>
                <w:b/>
                <w:spacing w:val="-12"/>
                <w:kern w:val="0"/>
                <w:sz w:val="24"/>
                <w:szCs w:val="24"/>
              </w:rPr>
            </w:pPr>
          </w:p>
        </w:tc>
        <w:tc>
          <w:tcPr>
            <w:tcW w:w="481" w:type="dxa"/>
            <w:vMerge w:val="restart"/>
            <w:tcBorders>
              <w:top w:val="nil"/>
              <w:left w:val="nil"/>
              <w:bottom w:val="single" w:color="000000" w:sz="6" w:space="0"/>
              <w:right w:val="single" w:color="000000" w:sz="6" w:space="0"/>
            </w:tcBorders>
            <w:vAlign w:val="center"/>
          </w:tcPr>
          <w:p>
            <w:pPr>
              <w:snapToGrid w:val="0"/>
              <w:jc w:val="center"/>
              <w:rPr>
                <w:b/>
                <w:spacing w:val="-12"/>
                <w:kern w:val="0"/>
                <w:sz w:val="24"/>
                <w:szCs w:val="24"/>
              </w:rPr>
            </w:pPr>
            <w:r>
              <w:rPr>
                <w:rFonts w:hint="eastAsia" w:hAnsi="宋体"/>
                <w:b/>
                <w:spacing w:val="-12"/>
                <w:kern w:val="0"/>
                <w:sz w:val="24"/>
                <w:szCs w:val="24"/>
              </w:rPr>
              <w:t>下</w:t>
            </w:r>
          </w:p>
          <w:p>
            <w:pPr>
              <w:snapToGrid w:val="0"/>
              <w:jc w:val="center"/>
              <w:rPr>
                <w:b/>
                <w:spacing w:val="-12"/>
                <w:kern w:val="0"/>
                <w:sz w:val="24"/>
                <w:szCs w:val="24"/>
              </w:rPr>
            </w:pPr>
            <w:r>
              <w:rPr>
                <w:rFonts w:hint="eastAsia" w:hAnsi="宋体"/>
                <w:b/>
                <w:spacing w:val="-12"/>
                <w:kern w:val="0"/>
                <w:sz w:val="24"/>
                <w:szCs w:val="24"/>
              </w:rPr>
              <w:t>午</w:t>
            </w:r>
          </w:p>
        </w:tc>
        <w:tc>
          <w:tcPr>
            <w:tcW w:w="1694" w:type="dxa"/>
            <w:tcBorders>
              <w:top w:val="single" w:color="000000" w:sz="6" w:space="0"/>
              <w:left w:val="nil"/>
              <w:bottom w:val="single" w:color="000000" w:sz="6" w:space="0"/>
              <w:right w:val="single" w:color="000000" w:sz="6" w:space="0"/>
            </w:tcBorders>
            <w:vAlign w:val="center"/>
          </w:tcPr>
          <w:p>
            <w:pPr>
              <w:snapToGrid w:val="0"/>
              <w:jc w:val="center"/>
              <w:rPr>
                <w:b/>
                <w:kern w:val="0"/>
                <w:sz w:val="24"/>
                <w:szCs w:val="24"/>
              </w:rPr>
            </w:pPr>
            <w:r>
              <w:rPr>
                <w:b/>
                <w:kern w:val="0"/>
                <w:sz w:val="24"/>
                <w:szCs w:val="24"/>
              </w:rPr>
              <w:t>15:00—16:00</w:t>
            </w:r>
          </w:p>
        </w:tc>
        <w:tc>
          <w:tcPr>
            <w:tcW w:w="1078" w:type="dxa"/>
            <w:tcBorders>
              <w:top w:val="single" w:color="000000" w:sz="6" w:space="0"/>
              <w:left w:val="nil"/>
              <w:bottom w:val="single" w:color="000000" w:sz="6" w:space="0"/>
              <w:right w:val="single" w:color="000000" w:sz="6" w:space="0"/>
            </w:tcBorders>
            <w:vAlign w:val="center"/>
          </w:tcPr>
          <w:p>
            <w:pPr>
              <w:snapToGrid w:val="0"/>
              <w:jc w:val="center"/>
              <w:rPr>
                <w:b/>
                <w:kern w:val="0"/>
                <w:sz w:val="24"/>
                <w:szCs w:val="24"/>
              </w:rPr>
            </w:pPr>
            <w:r>
              <w:rPr>
                <w:b/>
                <w:kern w:val="0"/>
                <w:sz w:val="24"/>
                <w:szCs w:val="24"/>
              </w:rPr>
              <w:t>60</w:t>
            </w:r>
            <w:r>
              <w:rPr>
                <w:rFonts w:hint="eastAsia" w:hAnsi="宋体"/>
                <w:b/>
                <w:kern w:val="0"/>
                <w:sz w:val="24"/>
                <w:szCs w:val="24"/>
              </w:rPr>
              <w:t>分钟</w:t>
            </w:r>
          </w:p>
        </w:tc>
        <w:tc>
          <w:tcPr>
            <w:tcW w:w="1484" w:type="dxa"/>
            <w:tcBorders>
              <w:top w:val="single" w:color="000000" w:sz="6" w:space="0"/>
              <w:left w:val="nil"/>
              <w:bottom w:val="single" w:color="000000" w:sz="6" w:space="0"/>
              <w:right w:val="single" w:color="000000" w:sz="6" w:space="0"/>
            </w:tcBorders>
            <w:vAlign w:val="center"/>
          </w:tcPr>
          <w:p>
            <w:pPr>
              <w:snapToGrid w:val="0"/>
              <w:jc w:val="center"/>
              <w:rPr>
                <w:b/>
                <w:kern w:val="0"/>
                <w:sz w:val="24"/>
                <w:szCs w:val="24"/>
              </w:rPr>
            </w:pPr>
            <w:r>
              <w:rPr>
                <w:rFonts w:hint="eastAsia" w:hAnsi="宋体"/>
                <w:b/>
                <w:kern w:val="0"/>
                <w:sz w:val="24"/>
                <w:szCs w:val="24"/>
              </w:rPr>
              <w:t>物理</w:t>
            </w:r>
          </w:p>
        </w:tc>
        <w:tc>
          <w:tcPr>
            <w:tcW w:w="671" w:type="dxa"/>
            <w:tcBorders>
              <w:top w:val="single" w:color="000000" w:sz="6" w:space="0"/>
              <w:left w:val="nil"/>
              <w:bottom w:val="single" w:color="000000" w:sz="6" w:space="0"/>
              <w:right w:val="single" w:color="000000" w:sz="6" w:space="0"/>
            </w:tcBorders>
            <w:vAlign w:val="center"/>
          </w:tcPr>
          <w:p>
            <w:pPr>
              <w:snapToGrid w:val="0"/>
              <w:jc w:val="center"/>
              <w:rPr>
                <w:b/>
                <w:kern w:val="0"/>
                <w:sz w:val="24"/>
                <w:szCs w:val="24"/>
              </w:rPr>
            </w:pPr>
            <w:r>
              <w:rPr>
                <w:b/>
                <w:kern w:val="0"/>
                <w:sz w:val="24"/>
                <w:szCs w:val="24"/>
              </w:rPr>
              <w:t>70</w:t>
            </w:r>
          </w:p>
        </w:tc>
        <w:tc>
          <w:tcPr>
            <w:tcW w:w="2424" w:type="dxa"/>
            <w:tcBorders>
              <w:top w:val="single" w:color="000000" w:sz="6" w:space="0"/>
              <w:left w:val="nil"/>
              <w:bottom w:val="single" w:color="000000" w:sz="6" w:space="0"/>
              <w:right w:val="single" w:color="auto" w:sz="8" w:space="0"/>
            </w:tcBorders>
            <w:vAlign w:val="center"/>
          </w:tcPr>
          <w:p>
            <w:pPr>
              <w:snapToGrid w:val="0"/>
              <w:rPr>
                <w:b/>
                <w:spacing w:val="-12"/>
                <w:kern w:val="0"/>
                <w:sz w:val="24"/>
                <w:szCs w:val="24"/>
              </w:rPr>
            </w:pPr>
          </w:p>
        </w:tc>
      </w:tr>
      <w:tr>
        <w:tblPrEx>
          <w:tblCellMar>
            <w:top w:w="0" w:type="dxa"/>
            <w:left w:w="0" w:type="dxa"/>
            <w:bottom w:w="0" w:type="dxa"/>
            <w:right w:w="0" w:type="dxa"/>
          </w:tblCellMar>
        </w:tblPrEx>
        <w:trPr>
          <w:trHeight w:val="1006" w:hRule="atLeast"/>
          <w:jc w:val="center"/>
        </w:trPr>
        <w:tc>
          <w:tcPr>
            <w:tcW w:w="1131" w:type="dxa"/>
            <w:vMerge w:val="continue"/>
            <w:tcBorders>
              <w:top w:val="nil"/>
              <w:left w:val="single" w:color="auto" w:sz="8" w:space="0"/>
              <w:bottom w:val="single" w:color="auto" w:sz="4" w:space="0"/>
              <w:right w:val="single" w:color="000000" w:sz="6" w:space="0"/>
            </w:tcBorders>
            <w:vAlign w:val="center"/>
          </w:tcPr>
          <w:p>
            <w:pPr>
              <w:snapToGrid w:val="0"/>
              <w:jc w:val="center"/>
              <w:rPr>
                <w:b/>
                <w:spacing w:val="-12"/>
                <w:kern w:val="0"/>
                <w:sz w:val="24"/>
                <w:szCs w:val="24"/>
              </w:rPr>
            </w:pPr>
          </w:p>
        </w:tc>
        <w:tc>
          <w:tcPr>
            <w:tcW w:w="481" w:type="dxa"/>
            <w:vMerge w:val="continue"/>
            <w:tcBorders>
              <w:top w:val="nil"/>
              <w:left w:val="nil"/>
              <w:bottom w:val="single" w:color="000000" w:sz="6" w:space="0"/>
              <w:right w:val="single" w:color="000000" w:sz="6" w:space="0"/>
            </w:tcBorders>
            <w:vAlign w:val="center"/>
          </w:tcPr>
          <w:p>
            <w:pPr>
              <w:snapToGrid w:val="0"/>
              <w:jc w:val="center"/>
              <w:rPr>
                <w:b/>
                <w:spacing w:val="-12"/>
                <w:kern w:val="0"/>
                <w:sz w:val="24"/>
                <w:szCs w:val="24"/>
              </w:rPr>
            </w:pPr>
          </w:p>
        </w:tc>
        <w:tc>
          <w:tcPr>
            <w:tcW w:w="1694" w:type="dxa"/>
            <w:tcBorders>
              <w:top w:val="single" w:color="000000" w:sz="6" w:space="0"/>
              <w:left w:val="nil"/>
              <w:bottom w:val="single" w:color="000000" w:sz="6" w:space="0"/>
              <w:right w:val="single" w:color="000000" w:sz="6" w:space="0"/>
            </w:tcBorders>
            <w:vAlign w:val="center"/>
          </w:tcPr>
          <w:p>
            <w:pPr>
              <w:snapToGrid w:val="0"/>
              <w:jc w:val="center"/>
              <w:rPr>
                <w:b/>
                <w:kern w:val="0"/>
                <w:sz w:val="24"/>
                <w:szCs w:val="24"/>
              </w:rPr>
            </w:pPr>
            <w:r>
              <w:rPr>
                <w:b/>
                <w:kern w:val="0"/>
                <w:sz w:val="24"/>
                <w:szCs w:val="24"/>
              </w:rPr>
              <w:t>16:50—17:40</w:t>
            </w:r>
          </w:p>
        </w:tc>
        <w:tc>
          <w:tcPr>
            <w:tcW w:w="1078" w:type="dxa"/>
            <w:tcBorders>
              <w:top w:val="single" w:color="000000" w:sz="6" w:space="0"/>
              <w:left w:val="nil"/>
              <w:bottom w:val="single" w:color="000000" w:sz="6" w:space="0"/>
              <w:right w:val="single" w:color="000000" w:sz="6" w:space="0"/>
            </w:tcBorders>
            <w:vAlign w:val="center"/>
          </w:tcPr>
          <w:p>
            <w:pPr>
              <w:snapToGrid w:val="0"/>
              <w:jc w:val="center"/>
              <w:rPr>
                <w:b/>
                <w:kern w:val="0"/>
                <w:sz w:val="24"/>
                <w:szCs w:val="24"/>
              </w:rPr>
            </w:pPr>
            <w:r>
              <w:rPr>
                <w:b/>
                <w:kern w:val="0"/>
                <w:sz w:val="24"/>
                <w:szCs w:val="24"/>
              </w:rPr>
              <w:t>50</w:t>
            </w:r>
            <w:r>
              <w:rPr>
                <w:rFonts w:hint="eastAsia" w:hAnsi="宋体"/>
                <w:b/>
                <w:kern w:val="0"/>
                <w:sz w:val="24"/>
                <w:szCs w:val="24"/>
              </w:rPr>
              <w:t>分钟</w:t>
            </w:r>
          </w:p>
        </w:tc>
        <w:tc>
          <w:tcPr>
            <w:tcW w:w="1484" w:type="dxa"/>
            <w:tcBorders>
              <w:top w:val="single" w:color="000000" w:sz="6" w:space="0"/>
              <w:left w:val="nil"/>
              <w:bottom w:val="single" w:color="000000" w:sz="6" w:space="0"/>
              <w:right w:val="single" w:color="000000" w:sz="6" w:space="0"/>
            </w:tcBorders>
            <w:vAlign w:val="center"/>
          </w:tcPr>
          <w:p>
            <w:pPr>
              <w:snapToGrid w:val="0"/>
              <w:jc w:val="center"/>
              <w:rPr>
                <w:b/>
                <w:kern w:val="0"/>
                <w:sz w:val="24"/>
                <w:szCs w:val="24"/>
              </w:rPr>
            </w:pPr>
            <w:r>
              <w:rPr>
                <w:rFonts w:hint="eastAsia" w:hAnsi="宋体"/>
                <w:b/>
                <w:kern w:val="0"/>
                <w:sz w:val="24"/>
                <w:szCs w:val="24"/>
              </w:rPr>
              <w:t>化学</w:t>
            </w:r>
          </w:p>
        </w:tc>
        <w:tc>
          <w:tcPr>
            <w:tcW w:w="671" w:type="dxa"/>
            <w:tcBorders>
              <w:top w:val="single" w:color="000000" w:sz="6" w:space="0"/>
              <w:left w:val="nil"/>
              <w:bottom w:val="single" w:color="000000" w:sz="6" w:space="0"/>
              <w:right w:val="single" w:color="000000" w:sz="6" w:space="0"/>
            </w:tcBorders>
            <w:vAlign w:val="center"/>
          </w:tcPr>
          <w:p>
            <w:pPr>
              <w:snapToGrid w:val="0"/>
              <w:jc w:val="center"/>
              <w:rPr>
                <w:b/>
                <w:kern w:val="0"/>
                <w:sz w:val="24"/>
                <w:szCs w:val="24"/>
              </w:rPr>
            </w:pPr>
            <w:r>
              <w:rPr>
                <w:b/>
                <w:kern w:val="0"/>
                <w:sz w:val="24"/>
                <w:szCs w:val="24"/>
              </w:rPr>
              <w:t>50</w:t>
            </w:r>
          </w:p>
        </w:tc>
        <w:tc>
          <w:tcPr>
            <w:tcW w:w="2424" w:type="dxa"/>
            <w:tcBorders>
              <w:top w:val="single" w:color="000000" w:sz="6" w:space="0"/>
              <w:left w:val="nil"/>
              <w:bottom w:val="single" w:color="000000" w:sz="6" w:space="0"/>
              <w:right w:val="single" w:color="auto" w:sz="8" w:space="0"/>
            </w:tcBorders>
            <w:vAlign w:val="center"/>
          </w:tcPr>
          <w:p>
            <w:pPr>
              <w:snapToGrid w:val="0"/>
              <w:rPr>
                <w:b/>
                <w:spacing w:val="-12"/>
                <w:kern w:val="0"/>
                <w:sz w:val="24"/>
                <w:szCs w:val="24"/>
              </w:rPr>
            </w:pPr>
          </w:p>
        </w:tc>
      </w:tr>
      <w:tr>
        <w:tblPrEx>
          <w:tblCellMar>
            <w:top w:w="0" w:type="dxa"/>
            <w:left w:w="0" w:type="dxa"/>
            <w:bottom w:w="0" w:type="dxa"/>
            <w:right w:w="0" w:type="dxa"/>
          </w:tblCellMar>
        </w:tblPrEx>
        <w:trPr>
          <w:trHeight w:val="1006" w:hRule="atLeast"/>
          <w:jc w:val="center"/>
        </w:trPr>
        <w:tc>
          <w:tcPr>
            <w:tcW w:w="1131" w:type="dxa"/>
            <w:vMerge w:val="restart"/>
            <w:tcBorders>
              <w:top w:val="single" w:color="auto" w:sz="4" w:space="0"/>
              <w:left w:val="single" w:color="auto" w:sz="8" w:space="0"/>
              <w:bottom w:val="single" w:color="auto" w:sz="4" w:space="0"/>
              <w:right w:val="single" w:color="auto" w:sz="4" w:space="0"/>
            </w:tcBorders>
            <w:vAlign w:val="center"/>
          </w:tcPr>
          <w:p>
            <w:pPr>
              <w:snapToGrid w:val="0"/>
              <w:jc w:val="center"/>
              <w:rPr>
                <w:b/>
                <w:spacing w:val="-12"/>
                <w:kern w:val="0"/>
                <w:sz w:val="24"/>
                <w:szCs w:val="24"/>
              </w:rPr>
            </w:pPr>
            <w:r>
              <w:rPr>
                <w:b/>
                <w:spacing w:val="-12"/>
                <w:kern w:val="0"/>
                <w:sz w:val="24"/>
                <w:szCs w:val="24"/>
              </w:rPr>
              <w:t>6</w:t>
            </w:r>
            <w:r>
              <w:rPr>
                <w:rFonts w:hint="eastAsia" w:hAnsi="宋体"/>
                <w:b/>
                <w:spacing w:val="-12"/>
                <w:kern w:val="0"/>
                <w:sz w:val="24"/>
                <w:szCs w:val="24"/>
              </w:rPr>
              <w:t>月</w:t>
            </w:r>
            <w:r>
              <w:rPr>
                <w:b/>
                <w:spacing w:val="-12"/>
                <w:kern w:val="0"/>
                <w:sz w:val="24"/>
                <w:szCs w:val="24"/>
              </w:rPr>
              <w:t>26</w:t>
            </w:r>
            <w:r>
              <w:rPr>
                <w:rFonts w:hint="eastAsia" w:hAnsi="宋体"/>
                <w:b/>
                <w:spacing w:val="-12"/>
                <w:kern w:val="0"/>
                <w:sz w:val="24"/>
                <w:szCs w:val="24"/>
              </w:rPr>
              <w:t>日</w:t>
            </w:r>
          </w:p>
        </w:tc>
        <w:tc>
          <w:tcPr>
            <w:tcW w:w="481" w:type="dxa"/>
            <w:vMerge w:val="restart"/>
            <w:tcBorders>
              <w:top w:val="nil"/>
              <w:left w:val="single" w:color="auto" w:sz="4" w:space="0"/>
              <w:bottom w:val="single" w:color="000000" w:sz="6" w:space="0"/>
              <w:right w:val="single" w:color="000000" w:sz="6" w:space="0"/>
            </w:tcBorders>
            <w:vAlign w:val="center"/>
          </w:tcPr>
          <w:p>
            <w:pPr>
              <w:snapToGrid w:val="0"/>
              <w:jc w:val="center"/>
              <w:rPr>
                <w:b/>
                <w:spacing w:val="-12"/>
                <w:kern w:val="0"/>
                <w:sz w:val="24"/>
                <w:szCs w:val="24"/>
              </w:rPr>
            </w:pPr>
            <w:r>
              <w:rPr>
                <w:rFonts w:hint="eastAsia" w:hAnsi="宋体"/>
                <w:b/>
                <w:spacing w:val="-12"/>
                <w:kern w:val="0"/>
                <w:sz w:val="24"/>
                <w:szCs w:val="24"/>
              </w:rPr>
              <w:t>上</w:t>
            </w:r>
          </w:p>
          <w:p>
            <w:pPr>
              <w:snapToGrid w:val="0"/>
              <w:jc w:val="center"/>
              <w:rPr>
                <w:b/>
                <w:spacing w:val="-12"/>
                <w:kern w:val="0"/>
                <w:sz w:val="24"/>
                <w:szCs w:val="24"/>
              </w:rPr>
            </w:pPr>
            <w:r>
              <w:rPr>
                <w:rFonts w:hint="eastAsia" w:hAnsi="宋体"/>
                <w:b/>
                <w:spacing w:val="-12"/>
                <w:kern w:val="0"/>
                <w:sz w:val="24"/>
                <w:szCs w:val="24"/>
              </w:rPr>
              <w:t>午</w:t>
            </w:r>
          </w:p>
        </w:tc>
        <w:tc>
          <w:tcPr>
            <w:tcW w:w="1694" w:type="dxa"/>
            <w:tcBorders>
              <w:top w:val="single" w:color="000000" w:sz="6" w:space="0"/>
              <w:left w:val="nil"/>
              <w:bottom w:val="single" w:color="000000" w:sz="6" w:space="0"/>
              <w:right w:val="single" w:color="000000" w:sz="6" w:space="0"/>
            </w:tcBorders>
            <w:vAlign w:val="center"/>
          </w:tcPr>
          <w:p>
            <w:pPr>
              <w:snapToGrid w:val="0"/>
              <w:jc w:val="center"/>
              <w:rPr>
                <w:b/>
                <w:kern w:val="0"/>
                <w:sz w:val="24"/>
                <w:szCs w:val="24"/>
              </w:rPr>
            </w:pPr>
            <w:r>
              <w:rPr>
                <w:b/>
                <w:kern w:val="0"/>
                <w:sz w:val="24"/>
                <w:szCs w:val="24"/>
              </w:rPr>
              <w:t>8:20—10:00</w:t>
            </w:r>
          </w:p>
        </w:tc>
        <w:tc>
          <w:tcPr>
            <w:tcW w:w="1078" w:type="dxa"/>
            <w:tcBorders>
              <w:top w:val="single" w:color="000000" w:sz="6" w:space="0"/>
              <w:left w:val="nil"/>
              <w:bottom w:val="single" w:color="000000" w:sz="6" w:space="0"/>
              <w:right w:val="single" w:color="000000" w:sz="6" w:space="0"/>
            </w:tcBorders>
            <w:vAlign w:val="center"/>
          </w:tcPr>
          <w:p>
            <w:pPr>
              <w:snapToGrid w:val="0"/>
              <w:jc w:val="center"/>
              <w:rPr>
                <w:b/>
                <w:kern w:val="0"/>
                <w:sz w:val="24"/>
                <w:szCs w:val="24"/>
              </w:rPr>
            </w:pPr>
            <w:r>
              <w:rPr>
                <w:b/>
                <w:kern w:val="0"/>
                <w:sz w:val="24"/>
                <w:szCs w:val="24"/>
              </w:rPr>
              <w:t>100</w:t>
            </w:r>
            <w:r>
              <w:rPr>
                <w:rFonts w:hint="eastAsia" w:hAnsi="宋体"/>
                <w:b/>
                <w:kern w:val="0"/>
                <w:sz w:val="24"/>
                <w:szCs w:val="24"/>
              </w:rPr>
              <w:t>分钟</w:t>
            </w:r>
          </w:p>
        </w:tc>
        <w:tc>
          <w:tcPr>
            <w:tcW w:w="1484" w:type="dxa"/>
            <w:tcBorders>
              <w:top w:val="single" w:color="000000" w:sz="6" w:space="0"/>
              <w:left w:val="nil"/>
              <w:bottom w:val="single" w:color="000000" w:sz="6" w:space="0"/>
              <w:right w:val="single" w:color="000000" w:sz="6" w:space="0"/>
            </w:tcBorders>
            <w:vAlign w:val="center"/>
          </w:tcPr>
          <w:p>
            <w:pPr>
              <w:snapToGrid w:val="0"/>
              <w:jc w:val="center"/>
              <w:rPr>
                <w:b/>
                <w:kern w:val="0"/>
                <w:sz w:val="24"/>
                <w:szCs w:val="24"/>
              </w:rPr>
            </w:pPr>
            <w:r>
              <w:rPr>
                <w:rFonts w:hint="eastAsia" w:hAnsi="宋体"/>
                <w:b/>
                <w:kern w:val="0"/>
                <w:sz w:val="24"/>
                <w:szCs w:val="24"/>
              </w:rPr>
              <w:t>数学</w:t>
            </w:r>
          </w:p>
        </w:tc>
        <w:tc>
          <w:tcPr>
            <w:tcW w:w="671" w:type="dxa"/>
            <w:tcBorders>
              <w:top w:val="single" w:color="000000" w:sz="6" w:space="0"/>
              <w:left w:val="nil"/>
              <w:bottom w:val="single" w:color="000000" w:sz="6" w:space="0"/>
              <w:right w:val="single" w:color="000000" w:sz="6" w:space="0"/>
            </w:tcBorders>
            <w:vAlign w:val="center"/>
          </w:tcPr>
          <w:p>
            <w:pPr>
              <w:snapToGrid w:val="0"/>
              <w:jc w:val="center"/>
              <w:rPr>
                <w:b/>
                <w:kern w:val="0"/>
                <w:sz w:val="24"/>
                <w:szCs w:val="24"/>
              </w:rPr>
            </w:pPr>
            <w:r>
              <w:rPr>
                <w:b/>
                <w:kern w:val="0"/>
                <w:sz w:val="24"/>
                <w:szCs w:val="24"/>
              </w:rPr>
              <w:t>120</w:t>
            </w:r>
          </w:p>
        </w:tc>
        <w:tc>
          <w:tcPr>
            <w:tcW w:w="2424" w:type="dxa"/>
            <w:tcBorders>
              <w:top w:val="single" w:color="000000" w:sz="6" w:space="0"/>
              <w:left w:val="nil"/>
              <w:bottom w:val="single" w:color="000000" w:sz="6" w:space="0"/>
              <w:right w:val="single" w:color="auto" w:sz="8" w:space="0"/>
            </w:tcBorders>
            <w:vAlign w:val="center"/>
          </w:tcPr>
          <w:p>
            <w:pPr>
              <w:snapToGrid w:val="0"/>
              <w:rPr>
                <w:b/>
                <w:spacing w:val="-12"/>
                <w:kern w:val="0"/>
                <w:sz w:val="24"/>
                <w:szCs w:val="24"/>
              </w:rPr>
            </w:pPr>
          </w:p>
        </w:tc>
      </w:tr>
      <w:tr>
        <w:tblPrEx>
          <w:tblCellMar>
            <w:top w:w="0" w:type="dxa"/>
            <w:left w:w="0" w:type="dxa"/>
            <w:bottom w:w="0" w:type="dxa"/>
            <w:right w:w="0" w:type="dxa"/>
          </w:tblCellMar>
        </w:tblPrEx>
        <w:trPr>
          <w:trHeight w:val="1006" w:hRule="atLeast"/>
          <w:jc w:val="center"/>
        </w:trPr>
        <w:tc>
          <w:tcPr>
            <w:tcW w:w="1131" w:type="dxa"/>
            <w:vMerge w:val="continue"/>
            <w:tcBorders>
              <w:top w:val="single" w:color="auto" w:sz="4" w:space="0"/>
              <w:left w:val="single" w:color="auto" w:sz="8" w:space="0"/>
              <w:bottom w:val="single" w:color="auto" w:sz="4" w:space="0"/>
              <w:right w:val="single" w:color="auto" w:sz="4" w:space="0"/>
            </w:tcBorders>
            <w:vAlign w:val="center"/>
          </w:tcPr>
          <w:p>
            <w:pPr>
              <w:snapToGrid w:val="0"/>
              <w:jc w:val="center"/>
              <w:rPr>
                <w:b/>
                <w:spacing w:val="-12"/>
                <w:kern w:val="0"/>
                <w:sz w:val="24"/>
                <w:szCs w:val="24"/>
              </w:rPr>
            </w:pPr>
          </w:p>
        </w:tc>
        <w:tc>
          <w:tcPr>
            <w:tcW w:w="481" w:type="dxa"/>
            <w:vMerge w:val="continue"/>
            <w:tcBorders>
              <w:top w:val="nil"/>
              <w:left w:val="single" w:color="auto" w:sz="4" w:space="0"/>
              <w:bottom w:val="single" w:color="000000" w:sz="6" w:space="0"/>
              <w:right w:val="single" w:color="000000" w:sz="6" w:space="0"/>
            </w:tcBorders>
            <w:vAlign w:val="center"/>
          </w:tcPr>
          <w:p>
            <w:pPr>
              <w:snapToGrid w:val="0"/>
              <w:jc w:val="center"/>
              <w:rPr>
                <w:b/>
                <w:spacing w:val="-12"/>
                <w:kern w:val="0"/>
                <w:sz w:val="24"/>
                <w:szCs w:val="24"/>
              </w:rPr>
            </w:pPr>
          </w:p>
        </w:tc>
        <w:tc>
          <w:tcPr>
            <w:tcW w:w="1694" w:type="dxa"/>
            <w:tcBorders>
              <w:top w:val="single" w:color="000000" w:sz="6" w:space="0"/>
              <w:left w:val="nil"/>
              <w:bottom w:val="single" w:color="000000" w:sz="6" w:space="0"/>
              <w:right w:val="single" w:color="000000" w:sz="6" w:space="0"/>
            </w:tcBorders>
            <w:vAlign w:val="center"/>
          </w:tcPr>
          <w:p>
            <w:pPr>
              <w:snapToGrid w:val="0"/>
              <w:jc w:val="center"/>
              <w:rPr>
                <w:b/>
                <w:kern w:val="0"/>
                <w:sz w:val="24"/>
                <w:szCs w:val="24"/>
              </w:rPr>
            </w:pPr>
            <w:r>
              <w:rPr>
                <w:b/>
                <w:kern w:val="0"/>
                <w:sz w:val="24"/>
                <w:szCs w:val="24"/>
              </w:rPr>
              <w:t>10:50—11:50</w:t>
            </w:r>
          </w:p>
        </w:tc>
        <w:tc>
          <w:tcPr>
            <w:tcW w:w="1078" w:type="dxa"/>
            <w:tcBorders>
              <w:top w:val="single" w:color="000000" w:sz="6" w:space="0"/>
              <w:left w:val="nil"/>
              <w:bottom w:val="single" w:color="000000" w:sz="6" w:space="0"/>
              <w:right w:val="single" w:color="000000" w:sz="6" w:space="0"/>
            </w:tcBorders>
            <w:vAlign w:val="center"/>
          </w:tcPr>
          <w:p>
            <w:pPr>
              <w:snapToGrid w:val="0"/>
              <w:jc w:val="center"/>
              <w:rPr>
                <w:b/>
                <w:kern w:val="0"/>
                <w:sz w:val="24"/>
                <w:szCs w:val="24"/>
              </w:rPr>
            </w:pPr>
            <w:r>
              <w:rPr>
                <w:b/>
                <w:kern w:val="0"/>
                <w:sz w:val="24"/>
                <w:szCs w:val="24"/>
              </w:rPr>
              <w:t>60</w:t>
            </w:r>
            <w:r>
              <w:rPr>
                <w:rFonts w:hint="eastAsia" w:hAnsi="宋体"/>
                <w:b/>
                <w:kern w:val="0"/>
                <w:sz w:val="24"/>
                <w:szCs w:val="24"/>
              </w:rPr>
              <w:t>分钟</w:t>
            </w:r>
          </w:p>
        </w:tc>
        <w:tc>
          <w:tcPr>
            <w:tcW w:w="1484" w:type="dxa"/>
            <w:tcBorders>
              <w:top w:val="single" w:color="000000" w:sz="6" w:space="0"/>
              <w:left w:val="nil"/>
              <w:bottom w:val="single" w:color="000000" w:sz="6" w:space="0"/>
              <w:right w:val="single" w:color="000000" w:sz="6" w:space="0"/>
            </w:tcBorders>
            <w:vAlign w:val="center"/>
          </w:tcPr>
          <w:p>
            <w:pPr>
              <w:snapToGrid w:val="0"/>
              <w:jc w:val="center"/>
              <w:rPr>
                <w:b/>
                <w:kern w:val="0"/>
                <w:sz w:val="24"/>
                <w:szCs w:val="24"/>
              </w:rPr>
            </w:pPr>
            <w:r>
              <w:rPr>
                <w:rFonts w:hint="eastAsia" w:hAnsi="宋体"/>
                <w:b/>
                <w:kern w:val="0"/>
                <w:sz w:val="24"/>
                <w:szCs w:val="24"/>
              </w:rPr>
              <w:t>道德与法治</w:t>
            </w:r>
          </w:p>
        </w:tc>
        <w:tc>
          <w:tcPr>
            <w:tcW w:w="671" w:type="dxa"/>
            <w:tcBorders>
              <w:top w:val="single" w:color="000000" w:sz="6" w:space="0"/>
              <w:left w:val="nil"/>
              <w:bottom w:val="single" w:color="000000" w:sz="6" w:space="0"/>
              <w:right w:val="single" w:color="000000" w:sz="6" w:space="0"/>
            </w:tcBorders>
            <w:vAlign w:val="center"/>
          </w:tcPr>
          <w:p>
            <w:pPr>
              <w:snapToGrid w:val="0"/>
              <w:jc w:val="center"/>
              <w:rPr>
                <w:b/>
                <w:kern w:val="0"/>
                <w:sz w:val="24"/>
                <w:szCs w:val="24"/>
              </w:rPr>
            </w:pPr>
            <w:r>
              <w:rPr>
                <w:b/>
                <w:kern w:val="0"/>
                <w:sz w:val="24"/>
                <w:szCs w:val="24"/>
              </w:rPr>
              <w:t>70</w:t>
            </w:r>
          </w:p>
        </w:tc>
        <w:tc>
          <w:tcPr>
            <w:tcW w:w="2424" w:type="dxa"/>
            <w:tcBorders>
              <w:top w:val="single" w:color="000000" w:sz="6" w:space="0"/>
              <w:left w:val="nil"/>
              <w:bottom w:val="single" w:color="000000" w:sz="6" w:space="0"/>
              <w:right w:val="single" w:color="auto" w:sz="8" w:space="0"/>
            </w:tcBorders>
            <w:vAlign w:val="center"/>
          </w:tcPr>
          <w:p>
            <w:pPr>
              <w:snapToGrid w:val="0"/>
              <w:rPr>
                <w:b/>
                <w:spacing w:val="-12"/>
                <w:kern w:val="0"/>
                <w:sz w:val="24"/>
                <w:szCs w:val="24"/>
              </w:rPr>
            </w:pPr>
            <w:r>
              <w:rPr>
                <w:rFonts w:hint="eastAsia" w:hAnsi="宋体"/>
                <w:b/>
                <w:spacing w:val="-12"/>
                <w:kern w:val="0"/>
                <w:sz w:val="24"/>
                <w:szCs w:val="24"/>
              </w:rPr>
              <w:t>开卷考试，考生可自带参考资料</w:t>
            </w:r>
          </w:p>
        </w:tc>
      </w:tr>
      <w:tr>
        <w:tblPrEx>
          <w:tblCellMar>
            <w:top w:w="0" w:type="dxa"/>
            <w:left w:w="0" w:type="dxa"/>
            <w:bottom w:w="0" w:type="dxa"/>
            <w:right w:w="0" w:type="dxa"/>
          </w:tblCellMar>
        </w:tblPrEx>
        <w:trPr>
          <w:trHeight w:val="1028" w:hRule="atLeast"/>
          <w:jc w:val="center"/>
        </w:trPr>
        <w:tc>
          <w:tcPr>
            <w:tcW w:w="1131" w:type="dxa"/>
            <w:vMerge w:val="continue"/>
            <w:tcBorders>
              <w:top w:val="single" w:color="auto" w:sz="4" w:space="0"/>
              <w:left w:val="single" w:color="auto" w:sz="8" w:space="0"/>
              <w:bottom w:val="single" w:color="auto" w:sz="8" w:space="0"/>
              <w:right w:val="single" w:color="auto" w:sz="4" w:space="0"/>
            </w:tcBorders>
            <w:vAlign w:val="center"/>
          </w:tcPr>
          <w:p>
            <w:pPr>
              <w:snapToGrid w:val="0"/>
              <w:jc w:val="center"/>
              <w:rPr>
                <w:b/>
                <w:spacing w:val="-12"/>
                <w:kern w:val="0"/>
                <w:sz w:val="24"/>
                <w:szCs w:val="24"/>
              </w:rPr>
            </w:pPr>
          </w:p>
        </w:tc>
        <w:tc>
          <w:tcPr>
            <w:tcW w:w="481" w:type="dxa"/>
            <w:tcBorders>
              <w:top w:val="single" w:color="000000" w:sz="6" w:space="0"/>
              <w:left w:val="single" w:color="auto" w:sz="4" w:space="0"/>
              <w:bottom w:val="single" w:color="auto" w:sz="8" w:space="0"/>
              <w:right w:val="single" w:color="000000" w:sz="6" w:space="0"/>
            </w:tcBorders>
            <w:vAlign w:val="center"/>
          </w:tcPr>
          <w:p>
            <w:pPr>
              <w:snapToGrid w:val="0"/>
              <w:jc w:val="center"/>
              <w:rPr>
                <w:b/>
                <w:spacing w:val="-12"/>
                <w:kern w:val="0"/>
                <w:sz w:val="24"/>
                <w:szCs w:val="24"/>
              </w:rPr>
            </w:pPr>
            <w:r>
              <w:rPr>
                <w:rFonts w:hint="eastAsia" w:hAnsi="宋体"/>
                <w:b/>
                <w:spacing w:val="-12"/>
                <w:kern w:val="0"/>
                <w:sz w:val="24"/>
                <w:szCs w:val="24"/>
              </w:rPr>
              <w:t>下</w:t>
            </w:r>
          </w:p>
          <w:p>
            <w:pPr>
              <w:snapToGrid w:val="0"/>
              <w:jc w:val="center"/>
              <w:rPr>
                <w:b/>
                <w:spacing w:val="-12"/>
                <w:kern w:val="0"/>
                <w:sz w:val="24"/>
                <w:szCs w:val="24"/>
              </w:rPr>
            </w:pPr>
            <w:r>
              <w:rPr>
                <w:rFonts w:hint="eastAsia" w:hAnsi="宋体"/>
                <w:b/>
                <w:spacing w:val="-12"/>
                <w:kern w:val="0"/>
                <w:sz w:val="24"/>
                <w:szCs w:val="24"/>
              </w:rPr>
              <w:t>午</w:t>
            </w:r>
          </w:p>
        </w:tc>
        <w:tc>
          <w:tcPr>
            <w:tcW w:w="1694" w:type="dxa"/>
            <w:tcBorders>
              <w:top w:val="single" w:color="000000" w:sz="6" w:space="0"/>
              <w:left w:val="nil"/>
              <w:bottom w:val="single" w:color="auto" w:sz="8" w:space="0"/>
              <w:right w:val="single" w:color="000000" w:sz="6" w:space="0"/>
            </w:tcBorders>
            <w:vAlign w:val="center"/>
          </w:tcPr>
          <w:p>
            <w:pPr>
              <w:snapToGrid w:val="0"/>
              <w:jc w:val="center"/>
              <w:rPr>
                <w:b/>
                <w:kern w:val="0"/>
                <w:sz w:val="24"/>
                <w:szCs w:val="24"/>
              </w:rPr>
            </w:pPr>
            <w:r>
              <w:rPr>
                <w:b/>
                <w:kern w:val="0"/>
                <w:sz w:val="24"/>
                <w:szCs w:val="24"/>
              </w:rPr>
              <w:t>15:00—16:40</w:t>
            </w:r>
          </w:p>
        </w:tc>
        <w:tc>
          <w:tcPr>
            <w:tcW w:w="1078" w:type="dxa"/>
            <w:tcBorders>
              <w:top w:val="single" w:color="000000" w:sz="6" w:space="0"/>
              <w:left w:val="nil"/>
              <w:bottom w:val="single" w:color="auto" w:sz="8" w:space="0"/>
              <w:right w:val="single" w:color="000000" w:sz="6" w:space="0"/>
            </w:tcBorders>
            <w:vAlign w:val="center"/>
          </w:tcPr>
          <w:p>
            <w:pPr>
              <w:snapToGrid w:val="0"/>
              <w:jc w:val="center"/>
              <w:rPr>
                <w:b/>
                <w:kern w:val="0"/>
                <w:sz w:val="24"/>
                <w:szCs w:val="24"/>
              </w:rPr>
            </w:pPr>
            <w:r>
              <w:rPr>
                <w:b/>
                <w:kern w:val="0"/>
                <w:sz w:val="24"/>
                <w:szCs w:val="24"/>
              </w:rPr>
              <w:t>100</w:t>
            </w:r>
            <w:r>
              <w:rPr>
                <w:rFonts w:hint="eastAsia" w:hAnsi="宋体"/>
                <w:b/>
                <w:kern w:val="0"/>
                <w:sz w:val="24"/>
                <w:szCs w:val="24"/>
              </w:rPr>
              <w:t>分钟</w:t>
            </w:r>
          </w:p>
        </w:tc>
        <w:tc>
          <w:tcPr>
            <w:tcW w:w="1484" w:type="dxa"/>
            <w:tcBorders>
              <w:top w:val="single" w:color="000000" w:sz="6" w:space="0"/>
              <w:left w:val="nil"/>
              <w:bottom w:val="single" w:color="auto" w:sz="8" w:space="0"/>
              <w:right w:val="single" w:color="000000" w:sz="6" w:space="0"/>
            </w:tcBorders>
            <w:vAlign w:val="center"/>
          </w:tcPr>
          <w:p>
            <w:pPr>
              <w:snapToGrid w:val="0"/>
              <w:jc w:val="center"/>
              <w:rPr>
                <w:b/>
                <w:kern w:val="0"/>
                <w:sz w:val="24"/>
                <w:szCs w:val="24"/>
              </w:rPr>
            </w:pPr>
            <w:r>
              <w:rPr>
                <w:rFonts w:hint="eastAsia" w:hAnsi="宋体"/>
                <w:b/>
                <w:kern w:val="0"/>
                <w:sz w:val="24"/>
                <w:szCs w:val="24"/>
              </w:rPr>
              <w:t>英语</w:t>
            </w:r>
          </w:p>
        </w:tc>
        <w:tc>
          <w:tcPr>
            <w:tcW w:w="671" w:type="dxa"/>
            <w:tcBorders>
              <w:top w:val="single" w:color="000000" w:sz="6" w:space="0"/>
              <w:left w:val="nil"/>
              <w:bottom w:val="single" w:color="auto" w:sz="8" w:space="0"/>
              <w:right w:val="single" w:color="000000" w:sz="6" w:space="0"/>
            </w:tcBorders>
            <w:vAlign w:val="center"/>
          </w:tcPr>
          <w:p>
            <w:pPr>
              <w:snapToGrid w:val="0"/>
              <w:jc w:val="center"/>
              <w:rPr>
                <w:b/>
                <w:kern w:val="0"/>
                <w:sz w:val="24"/>
                <w:szCs w:val="24"/>
              </w:rPr>
            </w:pPr>
            <w:r>
              <w:rPr>
                <w:b/>
                <w:kern w:val="0"/>
                <w:sz w:val="24"/>
                <w:szCs w:val="24"/>
              </w:rPr>
              <w:t>120</w:t>
            </w:r>
          </w:p>
        </w:tc>
        <w:tc>
          <w:tcPr>
            <w:tcW w:w="2424" w:type="dxa"/>
            <w:tcBorders>
              <w:top w:val="single" w:color="000000" w:sz="6" w:space="0"/>
              <w:left w:val="nil"/>
              <w:bottom w:val="single" w:color="auto" w:sz="8" w:space="0"/>
              <w:right w:val="single" w:color="auto" w:sz="8" w:space="0"/>
            </w:tcBorders>
            <w:vAlign w:val="center"/>
          </w:tcPr>
          <w:p>
            <w:pPr>
              <w:snapToGrid w:val="0"/>
              <w:rPr>
                <w:b/>
                <w:spacing w:val="-12"/>
                <w:kern w:val="0"/>
                <w:sz w:val="24"/>
                <w:szCs w:val="24"/>
              </w:rPr>
            </w:pPr>
            <w:r>
              <w:rPr>
                <w:rFonts w:hint="eastAsia" w:hAnsi="宋体"/>
                <w:b/>
                <w:spacing w:val="-12"/>
                <w:kern w:val="0"/>
                <w:sz w:val="24"/>
                <w:szCs w:val="24"/>
              </w:rPr>
              <w:t>笔试</w:t>
            </w:r>
            <w:r>
              <w:rPr>
                <w:b/>
                <w:spacing w:val="-12"/>
                <w:kern w:val="0"/>
                <w:sz w:val="24"/>
                <w:szCs w:val="24"/>
              </w:rPr>
              <w:t>100</w:t>
            </w:r>
            <w:r>
              <w:rPr>
                <w:rFonts w:hint="eastAsia" w:hAnsi="宋体"/>
                <w:b/>
                <w:spacing w:val="-12"/>
                <w:kern w:val="0"/>
                <w:sz w:val="24"/>
                <w:szCs w:val="24"/>
              </w:rPr>
              <w:t>分，听力</w:t>
            </w:r>
            <w:r>
              <w:rPr>
                <w:b/>
                <w:spacing w:val="-12"/>
                <w:kern w:val="0"/>
                <w:sz w:val="24"/>
                <w:szCs w:val="24"/>
              </w:rPr>
              <w:t>20</w:t>
            </w:r>
            <w:r>
              <w:rPr>
                <w:rFonts w:hint="eastAsia" w:hAnsi="宋体"/>
                <w:b/>
                <w:spacing w:val="-12"/>
                <w:kern w:val="0"/>
                <w:sz w:val="24"/>
                <w:szCs w:val="24"/>
              </w:rPr>
              <w:t>分</w:t>
            </w:r>
          </w:p>
        </w:tc>
      </w:tr>
    </w:tbl>
    <w:p>
      <w:pPr>
        <w:spacing w:line="560" w:lineRule="exact"/>
        <w:rPr>
          <w:rFonts w:eastAsia="黑体"/>
          <w:kern w:val="0"/>
          <w:sz w:val="32"/>
          <w:szCs w:val="32"/>
        </w:rPr>
      </w:pPr>
    </w:p>
    <w:p>
      <w:pPr>
        <w:spacing w:line="560" w:lineRule="exact"/>
        <w:rPr>
          <w:rFonts w:eastAsia="黑体"/>
          <w:kern w:val="0"/>
          <w:sz w:val="32"/>
          <w:szCs w:val="32"/>
        </w:rPr>
      </w:pPr>
    </w:p>
    <w:p>
      <w:pPr>
        <w:spacing w:line="560" w:lineRule="exact"/>
        <w:rPr>
          <w:rFonts w:eastAsia="黑体"/>
          <w:kern w:val="0"/>
          <w:sz w:val="32"/>
          <w:szCs w:val="32"/>
        </w:rPr>
      </w:pPr>
    </w:p>
    <w:p>
      <w:pPr>
        <w:spacing w:line="560" w:lineRule="exact"/>
        <w:rPr>
          <w:rFonts w:eastAsia="黑体"/>
          <w:kern w:val="0"/>
          <w:sz w:val="32"/>
          <w:szCs w:val="32"/>
        </w:rPr>
      </w:pPr>
    </w:p>
    <w:p>
      <w:pPr>
        <w:rPr>
          <w:rFonts w:eastAsia="黑体"/>
          <w:kern w:val="0"/>
          <w:sz w:val="32"/>
          <w:szCs w:val="32"/>
        </w:rPr>
      </w:pPr>
    </w:p>
    <w:p>
      <w:pPr>
        <w:rPr>
          <w:rFonts w:eastAsia="黑体"/>
          <w:kern w:val="0"/>
        </w:rPr>
      </w:pPr>
      <w:r>
        <w:rPr>
          <w:rFonts w:hint="eastAsia" w:eastAsia="黑体"/>
          <w:kern w:val="0"/>
          <w:sz w:val="32"/>
          <w:szCs w:val="32"/>
        </w:rPr>
        <w:t>附件</w:t>
      </w:r>
      <w:r>
        <w:rPr>
          <w:rFonts w:eastAsia="黑体"/>
          <w:kern w:val="0"/>
          <w:sz w:val="32"/>
          <w:szCs w:val="32"/>
        </w:rPr>
        <w:t>2</w:t>
      </w:r>
    </w:p>
    <w:p>
      <w:pPr>
        <w:pStyle w:val="10"/>
        <w:spacing w:before="0" w:after="0" w:line="400" w:lineRule="exact"/>
        <w:rPr>
          <w:rFonts w:ascii="Times New Roman" w:hAnsi="Times New Roman" w:eastAsia="微软简标宋"/>
          <w:b w:val="0"/>
          <w:bCs w:val="0"/>
          <w:spacing w:val="10"/>
          <w:sz w:val="40"/>
          <w:szCs w:val="40"/>
        </w:rPr>
      </w:pPr>
    </w:p>
    <w:p>
      <w:pPr>
        <w:pStyle w:val="10"/>
        <w:spacing w:before="0" w:after="0"/>
        <w:rPr>
          <w:rFonts w:ascii="Times New Roman" w:hAnsi="Times New Roman" w:eastAsia="方正小标宋简体"/>
          <w:b w:val="0"/>
          <w:bCs w:val="0"/>
          <w:spacing w:val="10"/>
          <w:sz w:val="42"/>
          <w:szCs w:val="42"/>
        </w:rPr>
      </w:pPr>
      <w:r>
        <w:rPr>
          <w:rFonts w:hint="eastAsia" w:ascii="Times New Roman" w:hAnsi="方正小标宋简体" w:eastAsia="方正小标宋简体"/>
          <w:b w:val="0"/>
          <w:bCs w:val="0"/>
          <w:spacing w:val="10"/>
          <w:sz w:val="42"/>
          <w:szCs w:val="42"/>
        </w:rPr>
        <w:t>河南省中招政策性加分对象和标准</w:t>
      </w:r>
    </w:p>
    <w:p>
      <w:pPr>
        <w:spacing w:line="400" w:lineRule="exact"/>
        <w:ind w:firstLine="420" w:firstLineChars="200"/>
        <w:rPr>
          <w:kern w:val="0"/>
        </w:rPr>
      </w:pPr>
    </w:p>
    <w:p>
      <w:pPr>
        <w:adjustRightInd w:val="0"/>
        <w:snapToGrid w:val="0"/>
        <w:spacing w:line="500" w:lineRule="exact"/>
        <w:ind w:firstLine="540" w:firstLineChars="200"/>
        <w:rPr>
          <w:rFonts w:eastAsia="仿宋_GB2312"/>
          <w:sz w:val="27"/>
          <w:szCs w:val="27"/>
        </w:rPr>
      </w:pPr>
      <w:r>
        <w:rPr>
          <w:rFonts w:eastAsia="仿宋_GB2312"/>
          <w:sz w:val="27"/>
          <w:szCs w:val="27"/>
        </w:rPr>
        <w:t>1.</w:t>
      </w:r>
      <w:r>
        <w:rPr>
          <w:rFonts w:hint="eastAsia" w:eastAsia="仿宋_GB2312"/>
          <w:sz w:val="27"/>
          <w:szCs w:val="27"/>
        </w:rPr>
        <w:t>根据《河南省公安英烈和因公牺牲伤残公安民警子女教育优待工作实施细则》（豫公通〔</w:t>
      </w:r>
      <w:r>
        <w:rPr>
          <w:rFonts w:eastAsia="仿宋_GB2312"/>
          <w:sz w:val="27"/>
          <w:szCs w:val="27"/>
        </w:rPr>
        <w:t>2018</w:t>
      </w:r>
      <w:r>
        <w:rPr>
          <w:rFonts w:hint="eastAsia" w:eastAsia="仿宋_GB2312"/>
          <w:sz w:val="27"/>
          <w:szCs w:val="27"/>
        </w:rPr>
        <w:t>〕</w:t>
      </w:r>
      <w:r>
        <w:rPr>
          <w:rFonts w:eastAsia="仿宋_GB2312"/>
          <w:sz w:val="27"/>
          <w:szCs w:val="27"/>
        </w:rPr>
        <w:t>66</w:t>
      </w:r>
      <w:r>
        <w:rPr>
          <w:rFonts w:hint="eastAsia" w:eastAsia="仿宋_GB2312"/>
          <w:sz w:val="27"/>
          <w:szCs w:val="27"/>
        </w:rPr>
        <w:t>号），公安烈士、公安英模子女，按照录取分值</w:t>
      </w:r>
      <w:r>
        <w:rPr>
          <w:rFonts w:eastAsia="仿宋_GB2312"/>
          <w:sz w:val="27"/>
          <w:szCs w:val="27"/>
        </w:rPr>
        <w:t>10%</w:t>
      </w:r>
      <w:r>
        <w:rPr>
          <w:rFonts w:hint="eastAsia" w:eastAsia="仿宋_GB2312"/>
          <w:sz w:val="27"/>
          <w:szCs w:val="27"/>
        </w:rPr>
        <w:t>的标准，降低分数优先录取；因公牺牲、一级至四级因公伤残公安民警子女，按照录取分值</w:t>
      </w:r>
      <w:r>
        <w:rPr>
          <w:rFonts w:eastAsia="仿宋_GB2312"/>
          <w:sz w:val="27"/>
          <w:szCs w:val="27"/>
        </w:rPr>
        <w:t>5%</w:t>
      </w:r>
      <w:r>
        <w:rPr>
          <w:rFonts w:hint="eastAsia" w:eastAsia="仿宋_GB2312"/>
          <w:sz w:val="27"/>
          <w:szCs w:val="27"/>
        </w:rPr>
        <w:t>的标准，降低分数优先录取。</w:t>
      </w:r>
    </w:p>
    <w:p>
      <w:pPr>
        <w:adjustRightInd w:val="0"/>
        <w:snapToGrid w:val="0"/>
        <w:spacing w:line="500" w:lineRule="exact"/>
        <w:ind w:firstLine="540" w:firstLineChars="200"/>
        <w:rPr>
          <w:rFonts w:eastAsia="仿宋_GB2312"/>
          <w:sz w:val="27"/>
          <w:szCs w:val="27"/>
        </w:rPr>
      </w:pPr>
      <w:r>
        <w:rPr>
          <w:rFonts w:eastAsia="仿宋_GB2312"/>
          <w:sz w:val="27"/>
          <w:szCs w:val="27"/>
        </w:rPr>
        <w:t>2.</w:t>
      </w:r>
      <w:r>
        <w:rPr>
          <w:rFonts w:hint="eastAsia" w:eastAsia="仿宋_GB2312"/>
          <w:sz w:val="27"/>
          <w:szCs w:val="27"/>
        </w:rPr>
        <w:t>根据《河南省实施〈中华人民共和国归侨侨眷权益保护法〉办法》和《河南省实施〈中华人民共和国台湾同胞投资保护法〉办法》，归侨、侨眷考生照顾</w:t>
      </w:r>
      <w:r>
        <w:rPr>
          <w:rFonts w:eastAsia="仿宋_GB2312"/>
          <w:sz w:val="27"/>
          <w:szCs w:val="27"/>
        </w:rPr>
        <w:t>10</w:t>
      </w:r>
      <w:r>
        <w:rPr>
          <w:rFonts w:hint="eastAsia" w:eastAsia="仿宋_GB2312"/>
          <w:sz w:val="27"/>
          <w:szCs w:val="27"/>
        </w:rPr>
        <w:t>分录取，台湾同胞投资者及随行眷属、所聘台湾管理人员凭《台湾同胞投资证书》，其子女报考普通高中的，照顾</w:t>
      </w:r>
      <w:r>
        <w:rPr>
          <w:rFonts w:eastAsia="仿宋_GB2312"/>
          <w:sz w:val="27"/>
          <w:szCs w:val="27"/>
        </w:rPr>
        <w:t>10</w:t>
      </w:r>
      <w:r>
        <w:rPr>
          <w:rFonts w:hint="eastAsia" w:eastAsia="仿宋_GB2312"/>
          <w:sz w:val="27"/>
          <w:szCs w:val="27"/>
        </w:rPr>
        <w:t>分。</w:t>
      </w:r>
    </w:p>
    <w:p>
      <w:pPr>
        <w:adjustRightInd w:val="0"/>
        <w:snapToGrid w:val="0"/>
        <w:spacing w:line="500" w:lineRule="exact"/>
        <w:ind w:firstLine="540" w:firstLineChars="200"/>
        <w:rPr>
          <w:rFonts w:eastAsia="仿宋_GB2312"/>
          <w:sz w:val="27"/>
          <w:szCs w:val="27"/>
        </w:rPr>
      </w:pPr>
      <w:r>
        <w:rPr>
          <w:rFonts w:eastAsia="仿宋_GB2312"/>
          <w:sz w:val="27"/>
          <w:szCs w:val="27"/>
        </w:rPr>
        <w:t>3.</w:t>
      </w:r>
      <w:r>
        <w:rPr>
          <w:rFonts w:hint="eastAsia" w:eastAsia="仿宋_GB2312"/>
          <w:sz w:val="27"/>
          <w:szCs w:val="27"/>
        </w:rPr>
        <w:t>根据中共河南省委、河南省人民政府《关于贯彻中发〔</w:t>
      </w:r>
      <w:r>
        <w:rPr>
          <w:rFonts w:eastAsia="仿宋_GB2312"/>
          <w:sz w:val="27"/>
          <w:szCs w:val="27"/>
        </w:rPr>
        <w:t>2006</w:t>
      </w:r>
      <w:r>
        <w:rPr>
          <w:rFonts w:hint="eastAsia" w:eastAsia="仿宋_GB2312"/>
          <w:sz w:val="27"/>
          <w:szCs w:val="27"/>
        </w:rPr>
        <w:t>〕</w:t>
      </w:r>
      <w:r>
        <w:rPr>
          <w:rFonts w:eastAsia="仿宋_GB2312"/>
          <w:sz w:val="27"/>
          <w:szCs w:val="27"/>
        </w:rPr>
        <w:t>22</w:t>
      </w:r>
      <w:r>
        <w:rPr>
          <w:rFonts w:hint="eastAsia" w:eastAsia="仿宋_GB2312"/>
          <w:sz w:val="27"/>
          <w:szCs w:val="27"/>
        </w:rPr>
        <w:t>号文件精神，全面加强人口和计划生育工作，统筹解决人口问题的意见》（豫发〔</w:t>
      </w:r>
      <w:r>
        <w:rPr>
          <w:rFonts w:eastAsia="仿宋_GB2312"/>
          <w:sz w:val="27"/>
          <w:szCs w:val="27"/>
        </w:rPr>
        <w:t>2007</w:t>
      </w:r>
      <w:r>
        <w:rPr>
          <w:rFonts w:hint="eastAsia" w:eastAsia="仿宋_GB2312"/>
          <w:sz w:val="27"/>
          <w:szCs w:val="27"/>
        </w:rPr>
        <w:t>〕</w:t>
      </w:r>
      <w:r>
        <w:rPr>
          <w:rFonts w:eastAsia="仿宋_GB2312"/>
          <w:sz w:val="27"/>
          <w:szCs w:val="27"/>
        </w:rPr>
        <w:t>7</w:t>
      </w:r>
      <w:r>
        <w:rPr>
          <w:rFonts w:hint="eastAsia" w:eastAsia="仿宋_GB2312"/>
          <w:sz w:val="27"/>
          <w:szCs w:val="27"/>
        </w:rPr>
        <w:t>号）精神，对农村独生子女家庭和计划生育双女家庭，其子女报考本县（市、区）高中的，照顾</w:t>
      </w:r>
      <w:r>
        <w:rPr>
          <w:rFonts w:eastAsia="仿宋_GB2312"/>
          <w:sz w:val="27"/>
          <w:szCs w:val="27"/>
        </w:rPr>
        <w:t>10</w:t>
      </w:r>
      <w:r>
        <w:rPr>
          <w:rFonts w:hint="eastAsia" w:eastAsia="仿宋_GB2312"/>
          <w:sz w:val="27"/>
          <w:szCs w:val="27"/>
        </w:rPr>
        <w:t>分。</w:t>
      </w:r>
    </w:p>
    <w:p>
      <w:pPr>
        <w:adjustRightInd w:val="0"/>
        <w:snapToGrid w:val="0"/>
        <w:spacing w:line="500" w:lineRule="exact"/>
        <w:ind w:firstLine="540" w:firstLineChars="200"/>
        <w:rPr>
          <w:rFonts w:eastAsia="仿宋_GB2312"/>
          <w:sz w:val="27"/>
          <w:szCs w:val="27"/>
        </w:rPr>
      </w:pPr>
      <w:r>
        <w:rPr>
          <w:rFonts w:eastAsia="仿宋_GB2312"/>
          <w:sz w:val="27"/>
          <w:szCs w:val="27"/>
        </w:rPr>
        <w:t>4.</w:t>
      </w:r>
      <w:r>
        <w:rPr>
          <w:rFonts w:hint="eastAsia" w:eastAsia="仿宋_GB2312"/>
          <w:sz w:val="27"/>
          <w:szCs w:val="27"/>
        </w:rPr>
        <w:t>根据省教育厅《关于对艾滋病防治帮扶工作队员子女入学给予适当照顾的通知》（豫教基〔</w:t>
      </w:r>
      <w:r>
        <w:rPr>
          <w:rFonts w:eastAsia="仿宋_GB2312"/>
          <w:sz w:val="27"/>
          <w:szCs w:val="27"/>
        </w:rPr>
        <w:t>2004</w:t>
      </w:r>
      <w:r>
        <w:rPr>
          <w:rFonts w:hint="eastAsia" w:eastAsia="仿宋_GB2312"/>
          <w:sz w:val="27"/>
          <w:szCs w:val="27"/>
        </w:rPr>
        <w:t>〕</w:t>
      </w:r>
      <w:r>
        <w:rPr>
          <w:rFonts w:eastAsia="仿宋_GB2312"/>
          <w:sz w:val="27"/>
          <w:szCs w:val="27"/>
        </w:rPr>
        <w:t>69</w:t>
      </w:r>
      <w:r>
        <w:rPr>
          <w:rFonts w:hint="eastAsia" w:eastAsia="仿宋_GB2312"/>
          <w:sz w:val="27"/>
          <w:szCs w:val="27"/>
        </w:rPr>
        <w:t>号）精神，派驻各地进行艾滋病防治帮扶工作队员的子女，报考当地普通高中的可照顾</w:t>
      </w:r>
      <w:r>
        <w:rPr>
          <w:rFonts w:eastAsia="仿宋_GB2312"/>
          <w:sz w:val="27"/>
          <w:szCs w:val="27"/>
        </w:rPr>
        <w:t>10</w:t>
      </w:r>
      <w:r>
        <w:rPr>
          <w:rFonts w:hint="eastAsia" w:eastAsia="仿宋_GB2312"/>
          <w:sz w:val="27"/>
          <w:szCs w:val="27"/>
        </w:rPr>
        <w:t>分。</w:t>
      </w:r>
    </w:p>
    <w:p>
      <w:pPr>
        <w:adjustRightInd w:val="0"/>
        <w:snapToGrid w:val="0"/>
        <w:spacing w:line="500" w:lineRule="exact"/>
        <w:ind w:firstLine="540" w:firstLineChars="200"/>
        <w:rPr>
          <w:rFonts w:eastAsia="仿宋_GB2312"/>
          <w:sz w:val="27"/>
          <w:szCs w:val="27"/>
        </w:rPr>
      </w:pPr>
      <w:r>
        <w:rPr>
          <w:rFonts w:eastAsia="仿宋_GB2312"/>
          <w:sz w:val="27"/>
          <w:szCs w:val="27"/>
        </w:rPr>
        <w:t>5.</w:t>
      </w:r>
      <w:r>
        <w:rPr>
          <w:rFonts w:hint="eastAsia" w:eastAsia="仿宋_GB2312"/>
          <w:sz w:val="27"/>
          <w:szCs w:val="27"/>
        </w:rPr>
        <w:t>根据《河南省少数民族权益保障条例》，少数民族考生报考少数民族学校的，照顾</w:t>
      </w:r>
      <w:r>
        <w:rPr>
          <w:rFonts w:eastAsia="仿宋_GB2312"/>
          <w:sz w:val="27"/>
          <w:szCs w:val="27"/>
        </w:rPr>
        <w:t>10</w:t>
      </w:r>
      <w:r>
        <w:rPr>
          <w:rFonts w:hint="eastAsia" w:eastAsia="仿宋_GB2312"/>
          <w:sz w:val="27"/>
          <w:szCs w:val="27"/>
        </w:rPr>
        <w:t>分；报考其它学校的，照顾</w:t>
      </w:r>
      <w:r>
        <w:rPr>
          <w:rFonts w:eastAsia="仿宋_GB2312"/>
          <w:sz w:val="27"/>
          <w:szCs w:val="27"/>
        </w:rPr>
        <w:t>5</w:t>
      </w:r>
      <w:r>
        <w:rPr>
          <w:rFonts w:hint="eastAsia" w:eastAsia="仿宋_GB2312"/>
          <w:sz w:val="27"/>
          <w:szCs w:val="27"/>
        </w:rPr>
        <w:t>分。</w:t>
      </w:r>
    </w:p>
    <w:p>
      <w:pPr>
        <w:adjustRightInd w:val="0"/>
        <w:snapToGrid w:val="0"/>
        <w:spacing w:line="500" w:lineRule="exact"/>
        <w:ind w:firstLine="540" w:firstLineChars="200"/>
        <w:rPr>
          <w:rFonts w:eastAsia="仿宋_GB2312"/>
          <w:sz w:val="27"/>
          <w:szCs w:val="27"/>
        </w:rPr>
      </w:pPr>
      <w:r>
        <w:rPr>
          <w:rFonts w:eastAsia="仿宋_GB2312"/>
          <w:sz w:val="27"/>
          <w:szCs w:val="27"/>
        </w:rPr>
        <w:t>6.</w:t>
      </w:r>
      <w:r>
        <w:rPr>
          <w:rFonts w:hint="eastAsia" w:eastAsia="仿宋_GB2312"/>
          <w:sz w:val="27"/>
          <w:szCs w:val="27"/>
        </w:rPr>
        <w:t>军人子女考生加分按照河南省教育厅、河南省军区政治部印发的《河南省〈军人子女教育优待办法〉实施细则》（政联〔</w:t>
      </w:r>
      <w:r>
        <w:rPr>
          <w:rFonts w:eastAsia="仿宋_GB2312"/>
          <w:sz w:val="27"/>
          <w:szCs w:val="27"/>
        </w:rPr>
        <w:t>2012</w:t>
      </w:r>
      <w:r>
        <w:rPr>
          <w:rFonts w:hint="eastAsia" w:eastAsia="仿宋_GB2312"/>
          <w:sz w:val="27"/>
          <w:szCs w:val="27"/>
        </w:rPr>
        <w:t>〕</w:t>
      </w:r>
      <w:r>
        <w:rPr>
          <w:rFonts w:eastAsia="仿宋_GB2312"/>
          <w:sz w:val="27"/>
          <w:szCs w:val="27"/>
        </w:rPr>
        <w:t>1</w:t>
      </w:r>
      <w:r>
        <w:rPr>
          <w:rFonts w:hint="eastAsia" w:eastAsia="仿宋_GB2312"/>
          <w:sz w:val="27"/>
          <w:szCs w:val="27"/>
        </w:rPr>
        <w:t>号）和《关于进一步明确军人子女中招优待政策的通知》（豫政联〔</w:t>
      </w:r>
      <w:r>
        <w:rPr>
          <w:rFonts w:eastAsia="仿宋_GB2312"/>
          <w:sz w:val="27"/>
          <w:szCs w:val="27"/>
        </w:rPr>
        <w:t>2019</w:t>
      </w:r>
      <w:r>
        <w:rPr>
          <w:rFonts w:hint="eastAsia" w:eastAsia="仿宋_GB2312"/>
          <w:sz w:val="27"/>
          <w:szCs w:val="27"/>
        </w:rPr>
        <w:t>〕</w:t>
      </w:r>
      <w:r>
        <w:rPr>
          <w:rFonts w:eastAsia="仿宋_GB2312"/>
          <w:sz w:val="27"/>
          <w:szCs w:val="27"/>
        </w:rPr>
        <w:t>2</w:t>
      </w:r>
      <w:r>
        <w:rPr>
          <w:rFonts w:hint="eastAsia" w:eastAsia="仿宋_GB2312"/>
          <w:sz w:val="27"/>
          <w:szCs w:val="27"/>
        </w:rPr>
        <w:t>号）要求执行。各军分区（警备区）政治工作处负责审查上报优待对象名单，省军区政治工作局汇总核定后报省教育厅，省教育厅将优待对象名单转发给各地教育行政部门。驻豫武警部队和国家综合性消防救援队伍人员子女的教育优待参照执行。一级至四级残疾退役军人子女教育优待按照民政部、教育部、总政治部关于印发《优抚对象及其子女教育优待暂行办法》的通知（民发〔</w:t>
      </w:r>
      <w:r>
        <w:rPr>
          <w:rFonts w:eastAsia="仿宋_GB2312"/>
          <w:sz w:val="27"/>
          <w:szCs w:val="27"/>
        </w:rPr>
        <w:t>2004</w:t>
      </w:r>
      <w:r>
        <w:rPr>
          <w:rFonts w:hint="eastAsia" w:eastAsia="仿宋_GB2312"/>
          <w:sz w:val="27"/>
          <w:szCs w:val="27"/>
        </w:rPr>
        <w:t>〕第</w:t>
      </w:r>
      <w:r>
        <w:rPr>
          <w:rFonts w:eastAsia="仿宋_GB2312"/>
          <w:sz w:val="27"/>
          <w:szCs w:val="27"/>
        </w:rPr>
        <w:t>192</w:t>
      </w:r>
      <w:r>
        <w:rPr>
          <w:rFonts w:hint="eastAsia" w:eastAsia="仿宋_GB2312"/>
          <w:sz w:val="27"/>
          <w:szCs w:val="27"/>
        </w:rPr>
        <w:t>号）要求执行。</w:t>
      </w:r>
    </w:p>
    <w:p>
      <w:pPr>
        <w:adjustRightInd w:val="0"/>
        <w:snapToGrid w:val="0"/>
        <w:spacing w:line="500" w:lineRule="exact"/>
        <w:ind w:firstLine="540" w:firstLineChars="200"/>
        <w:rPr>
          <w:rFonts w:eastAsia="仿宋_GB2312"/>
          <w:sz w:val="27"/>
          <w:szCs w:val="27"/>
        </w:rPr>
      </w:pPr>
      <w:r>
        <w:rPr>
          <w:rFonts w:eastAsia="仿宋_GB2312"/>
          <w:sz w:val="27"/>
          <w:szCs w:val="27"/>
        </w:rPr>
        <w:t>7.</w:t>
      </w:r>
      <w:r>
        <w:rPr>
          <w:rFonts w:hint="eastAsia" w:eastAsia="仿宋_GB2312"/>
          <w:sz w:val="27"/>
          <w:szCs w:val="27"/>
        </w:rPr>
        <w:t>获得见义勇为荣誉称号人员及其子女加分按照《河南省人民政府办公厅转发省民政厅等部门关于加强见义勇为人员权益保护工作意见的通知》（豫政办〔</w:t>
      </w:r>
      <w:r>
        <w:rPr>
          <w:rFonts w:eastAsia="仿宋_GB2312"/>
          <w:sz w:val="27"/>
          <w:szCs w:val="27"/>
        </w:rPr>
        <w:t>2013</w:t>
      </w:r>
      <w:r>
        <w:rPr>
          <w:rFonts w:hint="eastAsia" w:eastAsia="仿宋_GB2312"/>
          <w:sz w:val="27"/>
          <w:szCs w:val="27"/>
        </w:rPr>
        <w:t>〕</w:t>
      </w:r>
      <w:r>
        <w:rPr>
          <w:rFonts w:eastAsia="仿宋_GB2312"/>
          <w:sz w:val="27"/>
          <w:szCs w:val="27"/>
        </w:rPr>
        <w:t>90</w:t>
      </w:r>
      <w:r>
        <w:rPr>
          <w:rFonts w:hint="eastAsia" w:eastAsia="仿宋_GB2312"/>
          <w:sz w:val="27"/>
          <w:szCs w:val="27"/>
        </w:rPr>
        <w:t>号）要求执行。</w:t>
      </w:r>
    </w:p>
    <w:p>
      <w:pPr>
        <w:adjustRightInd w:val="0"/>
        <w:snapToGrid w:val="0"/>
        <w:spacing w:line="500" w:lineRule="exact"/>
        <w:ind w:firstLine="540" w:firstLineChars="200"/>
        <w:rPr>
          <w:rFonts w:eastAsia="仿宋_GB2312"/>
          <w:sz w:val="27"/>
          <w:szCs w:val="27"/>
        </w:rPr>
      </w:pPr>
      <w:r>
        <w:rPr>
          <w:rFonts w:eastAsia="仿宋_GB2312"/>
          <w:sz w:val="27"/>
          <w:szCs w:val="27"/>
        </w:rPr>
        <w:t>8.</w:t>
      </w:r>
      <w:r>
        <w:rPr>
          <w:rFonts w:hint="eastAsia" w:eastAsia="仿宋_GB2312"/>
          <w:sz w:val="27"/>
          <w:szCs w:val="27"/>
        </w:rPr>
        <w:t>根据教育部办公厅《关于解决驻外使领馆工作人员子女回国后入学问题的通知》（教基厅〔</w:t>
      </w:r>
      <w:r>
        <w:rPr>
          <w:rFonts w:eastAsia="仿宋_GB2312"/>
          <w:sz w:val="27"/>
          <w:szCs w:val="27"/>
        </w:rPr>
        <w:t>2005</w:t>
      </w:r>
      <w:r>
        <w:rPr>
          <w:rFonts w:hint="eastAsia" w:eastAsia="仿宋_GB2312"/>
          <w:sz w:val="27"/>
          <w:szCs w:val="27"/>
        </w:rPr>
        <w:t>〕</w:t>
      </w:r>
      <w:r>
        <w:rPr>
          <w:rFonts w:eastAsia="仿宋_GB2312"/>
          <w:sz w:val="27"/>
          <w:szCs w:val="27"/>
        </w:rPr>
        <w:t>16</w:t>
      </w:r>
      <w:r>
        <w:rPr>
          <w:rFonts w:hint="eastAsia" w:eastAsia="仿宋_GB2312"/>
          <w:sz w:val="27"/>
          <w:szCs w:val="27"/>
        </w:rPr>
        <w:t>号），持有驻外使领馆出具的《驻外使领馆工作人员随任子女回国证明》的初中阶段回国的初中生，在初中毕业后参加我省统一组织的高级中等学校招生考试的，在条件相同的情况下，优先录取。</w:t>
      </w:r>
    </w:p>
    <w:p>
      <w:pPr>
        <w:adjustRightInd w:val="0"/>
        <w:snapToGrid w:val="0"/>
        <w:spacing w:line="590" w:lineRule="exact"/>
        <w:ind w:firstLine="560" w:firstLineChars="200"/>
        <w:rPr>
          <w:rFonts w:eastAsia="仿宋_GB2312"/>
          <w:sz w:val="28"/>
          <w:szCs w:val="28"/>
        </w:rPr>
        <w:sectPr>
          <w:pgSz w:w="11906" w:h="16838"/>
          <w:pgMar w:top="1701" w:right="1304" w:bottom="1134" w:left="1304" w:header="1134" w:footer="1588" w:gutter="284"/>
          <w:cols w:space="720" w:num="1"/>
          <w:docGrid w:linePitch="587" w:charSpace="1587"/>
        </w:sectPr>
      </w:pPr>
    </w:p>
    <w:p>
      <w:pPr>
        <w:adjustRightInd w:val="0"/>
        <w:snapToGrid w:val="0"/>
        <w:spacing w:line="560" w:lineRule="exact"/>
        <w:rPr>
          <w:rFonts w:eastAsia="黑体"/>
          <w:sz w:val="32"/>
          <w:szCs w:val="32"/>
        </w:rPr>
      </w:pPr>
      <w:r>
        <w:rPr>
          <w:rFonts w:hint="eastAsia" w:eastAsia="黑体"/>
          <w:sz w:val="32"/>
          <w:szCs w:val="32"/>
        </w:rPr>
        <w:t>附件</w:t>
      </w:r>
      <w:r>
        <w:rPr>
          <w:rFonts w:eastAsia="黑体"/>
          <w:sz w:val="32"/>
          <w:szCs w:val="32"/>
        </w:rPr>
        <w:t>3</w:t>
      </w:r>
    </w:p>
    <w:p>
      <w:pPr>
        <w:adjustRightInd w:val="0"/>
        <w:snapToGrid w:val="0"/>
        <w:spacing w:line="590" w:lineRule="exact"/>
        <w:jc w:val="center"/>
        <w:rPr>
          <w:rFonts w:eastAsia="方正小标宋简体"/>
          <w:sz w:val="44"/>
          <w:szCs w:val="44"/>
        </w:rPr>
      </w:pPr>
      <w:r>
        <w:rPr>
          <w:rFonts w:eastAsia="方正小标宋简体"/>
          <w:sz w:val="44"/>
          <w:szCs w:val="44"/>
        </w:rPr>
        <w:t>2021</w:t>
      </w:r>
      <w:r>
        <w:rPr>
          <w:rFonts w:hint="eastAsia" w:eastAsia="方正小标宋简体"/>
          <w:sz w:val="44"/>
          <w:szCs w:val="44"/>
        </w:rPr>
        <w:t>年中招考试承诺书</w:t>
      </w:r>
    </w:p>
    <w:p>
      <w:pPr>
        <w:adjustRightInd w:val="0"/>
        <w:snapToGrid w:val="0"/>
        <w:spacing w:line="480" w:lineRule="exact"/>
        <w:ind w:firstLine="540" w:firstLineChars="200"/>
        <w:rPr>
          <w:rFonts w:eastAsia="仿宋_GB2312"/>
          <w:sz w:val="27"/>
          <w:szCs w:val="27"/>
        </w:rPr>
      </w:pPr>
    </w:p>
    <w:p>
      <w:pPr>
        <w:adjustRightInd w:val="0"/>
        <w:snapToGrid w:val="0"/>
        <w:spacing w:line="480" w:lineRule="exact"/>
        <w:ind w:firstLine="540" w:firstLineChars="200"/>
        <w:rPr>
          <w:rFonts w:eastAsia="仿宋_GB2312"/>
          <w:sz w:val="27"/>
          <w:szCs w:val="27"/>
        </w:rPr>
      </w:pPr>
      <w:r>
        <w:rPr>
          <w:rFonts w:hint="eastAsia" w:eastAsia="仿宋_GB2312"/>
          <w:sz w:val="27"/>
          <w:szCs w:val="27"/>
        </w:rPr>
        <w:t>诚信是中华民族的优良传统，是一个社会和睦相处、共同进步的道德基石，诚信考试是每一名考生都应该具备的基本公民素质。我是参加河南省</w:t>
      </w:r>
      <w:r>
        <w:rPr>
          <w:rFonts w:eastAsia="仿宋_GB2312"/>
          <w:sz w:val="27"/>
          <w:szCs w:val="27"/>
        </w:rPr>
        <w:t>2021</w:t>
      </w:r>
      <w:r>
        <w:rPr>
          <w:rFonts w:hint="eastAsia" w:eastAsia="仿宋_GB2312"/>
          <w:sz w:val="27"/>
          <w:szCs w:val="27"/>
        </w:rPr>
        <w:t>年中招考试的一名考生，现郑重承诺：</w:t>
      </w:r>
    </w:p>
    <w:p>
      <w:pPr>
        <w:adjustRightInd w:val="0"/>
        <w:snapToGrid w:val="0"/>
        <w:spacing w:line="480" w:lineRule="exact"/>
        <w:ind w:firstLine="540" w:firstLineChars="200"/>
        <w:rPr>
          <w:rFonts w:eastAsia="仿宋_GB2312"/>
          <w:sz w:val="27"/>
          <w:szCs w:val="27"/>
        </w:rPr>
      </w:pPr>
      <w:r>
        <w:rPr>
          <w:rFonts w:eastAsia="仿宋_GB2312"/>
          <w:sz w:val="27"/>
          <w:szCs w:val="27"/>
        </w:rPr>
        <w:t>1.</w:t>
      </w:r>
      <w:r>
        <w:rPr>
          <w:rFonts w:hint="eastAsia" w:eastAsia="仿宋_GB2312"/>
          <w:sz w:val="27"/>
          <w:szCs w:val="27"/>
        </w:rPr>
        <w:t>我报名时网上填写的基本情况信息真实、准确，本人己签字确认。</w:t>
      </w:r>
    </w:p>
    <w:p>
      <w:pPr>
        <w:adjustRightInd w:val="0"/>
        <w:snapToGrid w:val="0"/>
        <w:spacing w:line="480" w:lineRule="exact"/>
        <w:ind w:firstLine="540" w:firstLineChars="200"/>
        <w:rPr>
          <w:rFonts w:eastAsia="仿宋_GB2312"/>
          <w:sz w:val="27"/>
          <w:szCs w:val="27"/>
        </w:rPr>
      </w:pPr>
      <w:r>
        <w:rPr>
          <w:rFonts w:eastAsia="仿宋_GB2312"/>
          <w:sz w:val="27"/>
          <w:szCs w:val="27"/>
        </w:rPr>
        <w:t>2.</w:t>
      </w:r>
      <w:r>
        <w:rPr>
          <w:rFonts w:hint="eastAsia" w:eastAsia="仿宋_GB2312"/>
          <w:sz w:val="27"/>
          <w:szCs w:val="27"/>
        </w:rPr>
        <w:t>本人已认真学习并了解省市中招政策以及相关考试管理规定，将牢固树立</w:t>
      </w:r>
      <w:r>
        <w:rPr>
          <w:rFonts w:eastAsia="仿宋_GB2312"/>
          <w:sz w:val="27"/>
          <w:szCs w:val="27"/>
        </w:rPr>
        <w:t>“</w:t>
      </w:r>
      <w:r>
        <w:rPr>
          <w:rFonts w:hint="eastAsia" w:eastAsia="仿宋_GB2312"/>
          <w:sz w:val="27"/>
          <w:szCs w:val="27"/>
        </w:rPr>
        <w:t>诚信考试光荣，作弊违纪可耻</w:t>
      </w:r>
      <w:r>
        <w:rPr>
          <w:rFonts w:eastAsia="仿宋_GB2312"/>
          <w:sz w:val="27"/>
          <w:szCs w:val="27"/>
        </w:rPr>
        <w:t>”</w:t>
      </w:r>
      <w:r>
        <w:rPr>
          <w:rFonts w:hint="eastAsia" w:eastAsia="仿宋_GB2312"/>
          <w:sz w:val="27"/>
          <w:szCs w:val="27"/>
        </w:rPr>
        <w:t>的思想，自觉遵守考试纪律，保证不违纪、不作弊。</w:t>
      </w:r>
    </w:p>
    <w:p>
      <w:pPr>
        <w:adjustRightInd w:val="0"/>
        <w:snapToGrid w:val="0"/>
        <w:spacing w:line="480" w:lineRule="exact"/>
        <w:ind w:firstLine="540" w:firstLineChars="200"/>
        <w:rPr>
          <w:rFonts w:eastAsia="仿宋_GB2312"/>
          <w:sz w:val="27"/>
          <w:szCs w:val="27"/>
        </w:rPr>
      </w:pPr>
      <w:r>
        <w:rPr>
          <w:rFonts w:eastAsia="仿宋_GB2312"/>
          <w:sz w:val="27"/>
          <w:szCs w:val="27"/>
        </w:rPr>
        <w:t>3.</w:t>
      </w:r>
      <w:r>
        <w:rPr>
          <w:rFonts w:hint="eastAsia" w:eastAsia="仿宋_GB2312"/>
          <w:sz w:val="27"/>
          <w:szCs w:val="27"/>
        </w:rPr>
        <w:t>进入考场时携带准考证，主动接受监考人员使用金属探测仪进行检测。服从监考员等考试工作人员的管理，不扰乱考试工作秩序。</w:t>
      </w:r>
    </w:p>
    <w:p>
      <w:pPr>
        <w:adjustRightInd w:val="0"/>
        <w:snapToGrid w:val="0"/>
        <w:spacing w:line="480" w:lineRule="exact"/>
        <w:ind w:firstLine="540" w:firstLineChars="200"/>
        <w:rPr>
          <w:rFonts w:eastAsia="仿宋_GB2312"/>
          <w:sz w:val="27"/>
          <w:szCs w:val="27"/>
        </w:rPr>
      </w:pPr>
      <w:r>
        <w:rPr>
          <w:rFonts w:eastAsia="仿宋_GB2312"/>
          <w:sz w:val="27"/>
          <w:szCs w:val="27"/>
        </w:rPr>
        <w:t>4.</w:t>
      </w:r>
      <w:r>
        <w:rPr>
          <w:rFonts w:hint="eastAsia" w:eastAsia="仿宋_GB2312"/>
          <w:sz w:val="27"/>
          <w:szCs w:val="27"/>
        </w:rPr>
        <w:t>不携带手机、无线接收和传送设备、电子储存记忆录放设备、手表、修正液、涂改液、文具盒等物品进入考场。</w:t>
      </w:r>
    </w:p>
    <w:p>
      <w:pPr>
        <w:adjustRightInd w:val="0"/>
        <w:snapToGrid w:val="0"/>
        <w:spacing w:line="480" w:lineRule="exact"/>
        <w:ind w:firstLine="540" w:firstLineChars="200"/>
        <w:rPr>
          <w:rFonts w:eastAsia="仿宋_GB2312"/>
          <w:sz w:val="27"/>
          <w:szCs w:val="27"/>
        </w:rPr>
      </w:pPr>
      <w:r>
        <w:rPr>
          <w:rFonts w:eastAsia="仿宋_GB2312"/>
          <w:sz w:val="27"/>
          <w:szCs w:val="27"/>
        </w:rPr>
        <w:t>5.</w:t>
      </w:r>
      <w:r>
        <w:rPr>
          <w:rFonts w:hint="eastAsia" w:eastAsia="仿宋_GB2312"/>
          <w:sz w:val="27"/>
          <w:szCs w:val="27"/>
        </w:rPr>
        <w:t>考试时独立思考、沉着应试，做到不喧哗，不交头接耳、不打手势暗号，不夹带抄袭或有意让他人抄袭，不传抄答案或交换试卷、答题卡，不传递文具等物品，不将试卷、答题卡或草稿纸带出考场，终考铃响后不在考场和考点警戒线内逗留。</w:t>
      </w:r>
    </w:p>
    <w:p>
      <w:pPr>
        <w:adjustRightInd w:val="0"/>
        <w:snapToGrid w:val="0"/>
        <w:spacing w:line="480" w:lineRule="exact"/>
        <w:ind w:firstLine="540" w:firstLineChars="200"/>
        <w:rPr>
          <w:rFonts w:eastAsia="仿宋_GB2312"/>
          <w:sz w:val="27"/>
          <w:szCs w:val="27"/>
        </w:rPr>
      </w:pPr>
      <w:r>
        <w:rPr>
          <w:rFonts w:eastAsia="仿宋_GB2312"/>
          <w:sz w:val="27"/>
          <w:szCs w:val="27"/>
        </w:rPr>
        <w:t>6.</w:t>
      </w:r>
      <w:r>
        <w:rPr>
          <w:rFonts w:hint="eastAsia" w:eastAsia="仿宋_GB2312"/>
          <w:sz w:val="27"/>
          <w:szCs w:val="27"/>
        </w:rPr>
        <w:t>我已了解志愿学校基本情况、录取办法和收费标准，所填报志愿是本人真实意愿，一经录取，将按规定时间到校报到。否则，视为主动放弃普通高中学业资格。</w:t>
      </w:r>
    </w:p>
    <w:p>
      <w:pPr>
        <w:adjustRightInd w:val="0"/>
        <w:snapToGrid w:val="0"/>
        <w:spacing w:line="480" w:lineRule="exact"/>
        <w:ind w:firstLine="540" w:firstLineChars="200"/>
        <w:rPr>
          <w:rFonts w:eastAsia="仿宋_GB2312"/>
          <w:sz w:val="27"/>
          <w:szCs w:val="27"/>
        </w:rPr>
      </w:pPr>
      <w:r>
        <w:rPr>
          <w:rFonts w:hint="eastAsia" w:eastAsia="仿宋_GB2312"/>
          <w:sz w:val="27"/>
          <w:szCs w:val="27"/>
        </w:rPr>
        <w:t>如违反以上承诺，我愿意承担一切责任，接受相应处理。</w:t>
      </w:r>
    </w:p>
    <w:p>
      <w:pPr>
        <w:adjustRightInd w:val="0"/>
        <w:snapToGrid w:val="0"/>
        <w:spacing w:line="480" w:lineRule="exact"/>
        <w:ind w:firstLine="540" w:firstLineChars="200"/>
        <w:rPr>
          <w:rFonts w:eastAsia="仿宋_GB2312"/>
          <w:sz w:val="27"/>
          <w:szCs w:val="27"/>
        </w:rPr>
      </w:pPr>
    </w:p>
    <w:p>
      <w:pPr>
        <w:adjustRightInd w:val="0"/>
        <w:snapToGrid w:val="0"/>
        <w:spacing w:line="480" w:lineRule="exact"/>
        <w:ind w:firstLine="540" w:firstLineChars="200"/>
        <w:rPr>
          <w:rFonts w:eastAsia="仿宋_GB2312"/>
          <w:sz w:val="27"/>
          <w:szCs w:val="27"/>
        </w:rPr>
      </w:pPr>
      <w:r>
        <w:rPr>
          <w:rFonts w:hint="eastAsia" w:eastAsia="仿宋_GB2312"/>
          <w:sz w:val="27"/>
          <w:szCs w:val="27"/>
        </w:rPr>
        <w:t>承诺人：</w:t>
      </w:r>
      <w:r>
        <w:rPr>
          <w:rFonts w:eastAsia="仿宋_GB2312"/>
          <w:sz w:val="27"/>
          <w:szCs w:val="27"/>
        </w:rPr>
        <w:t xml:space="preserve">             </w:t>
      </w:r>
      <w:r>
        <w:rPr>
          <w:rFonts w:hint="eastAsia" w:eastAsia="仿宋_GB2312"/>
          <w:sz w:val="27"/>
          <w:szCs w:val="27"/>
        </w:rPr>
        <w:t>准考证号：</w:t>
      </w:r>
    </w:p>
    <w:p>
      <w:pPr>
        <w:adjustRightInd w:val="0"/>
        <w:snapToGrid w:val="0"/>
        <w:spacing w:line="480" w:lineRule="exact"/>
        <w:ind w:firstLine="540" w:firstLineChars="200"/>
        <w:rPr>
          <w:rFonts w:eastAsia="仿宋_GB2312"/>
          <w:sz w:val="27"/>
          <w:szCs w:val="27"/>
        </w:rPr>
      </w:pPr>
    </w:p>
    <w:p>
      <w:pPr>
        <w:adjustRightInd w:val="0"/>
        <w:snapToGrid w:val="0"/>
        <w:spacing w:line="480" w:lineRule="exact"/>
        <w:ind w:firstLine="4860" w:firstLineChars="1800"/>
        <w:rPr>
          <w:rFonts w:eastAsia="仿宋_GB2312"/>
          <w:sz w:val="27"/>
          <w:szCs w:val="27"/>
        </w:rPr>
      </w:pPr>
      <w:r>
        <w:rPr>
          <w:rFonts w:hint="eastAsia" w:eastAsia="仿宋_GB2312"/>
          <w:sz w:val="27"/>
          <w:szCs w:val="27"/>
        </w:rPr>
        <w:t>监护人：</w:t>
      </w:r>
    </w:p>
    <w:p>
      <w:pPr>
        <w:adjustRightInd w:val="0"/>
        <w:snapToGrid w:val="0"/>
        <w:spacing w:line="480" w:lineRule="exact"/>
        <w:ind w:firstLine="4860" w:firstLineChars="1800"/>
        <w:rPr>
          <w:rFonts w:eastAsia="仿宋_GB2312"/>
          <w:sz w:val="27"/>
          <w:szCs w:val="27"/>
        </w:rPr>
      </w:pPr>
      <w:r>
        <w:rPr>
          <w:rFonts w:hint="eastAsia" w:eastAsia="仿宋_GB2312"/>
          <w:sz w:val="27"/>
          <w:szCs w:val="27"/>
        </w:rPr>
        <w:t>年</w:t>
      </w:r>
      <w:r>
        <w:rPr>
          <w:rFonts w:eastAsia="仿宋_GB2312"/>
          <w:sz w:val="27"/>
          <w:szCs w:val="27"/>
        </w:rPr>
        <w:t xml:space="preserve">  </w:t>
      </w:r>
      <w:r>
        <w:rPr>
          <w:rFonts w:hint="eastAsia" w:eastAsia="仿宋_GB2312"/>
          <w:sz w:val="27"/>
          <w:szCs w:val="27"/>
        </w:rPr>
        <w:t>月</w:t>
      </w:r>
      <w:r>
        <w:rPr>
          <w:rFonts w:eastAsia="仿宋_GB2312"/>
          <w:sz w:val="27"/>
          <w:szCs w:val="27"/>
        </w:rPr>
        <w:t xml:space="preserve">  </w:t>
      </w:r>
      <w:r>
        <w:rPr>
          <w:rFonts w:hint="eastAsia" w:eastAsia="仿宋_GB2312"/>
          <w:sz w:val="27"/>
          <w:szCs w:val="27"/>
        </w:rPr>
        <w:t>日</w:t>
      </w:r>
    </w:p>
    <w:p>
      <w:pPr>
        <w:spacing w:line="500" w:lineRule="exact"/>
        <w:rPr>
          <w:rFonts w:eastAsia="黑体"/>
          <w:sz w:val="32"/>
          <w:szCs w:val="32"/>
        </w:rPr>
      </w:pPr>
      <w:r>
        <w:rPr>
          <w:rFonts w:hint="eastAsia" w:eastAsia="黑体"/>
          <w:sz w:val="32"/>
          <w:szCs w:val="32"/>
        </w:rPr>
        <w:t>附件</w:t>
      </w:r>
      <w:r>
        <w:rPr>
          <w:rFonts w:eastAsia="黑体"/>
          <w:sz w:val="32"/>
          <w:szCs w:val="32"/>
        </w:rPr>
        <w:t>4</w:t>
      </w:r>
    </w:p>
    <w:p>
      <w:pPr>
        <w:adjustRightInd w:val="0"/>
        <w:snapToGrid w:val="0"/>
        <w:spacing w:line="400" w:lineRule="exact"/>
        <w:jc w:val="center"/>
        <w:rPr>
          <w:rFonts w:eastAsia="仿宋_GB2312"/>
          <w:sz w:val="32"/>
          <w:szCs w:val="32"/>
        </w:rPr>
      </w:pPr>
    </w:p>
    <w:p>
      <w:pPr>
        <w:adjustRightInd w:val="0"/>
        <w:snapToGrid w:val="0"/>
        <w:spacing w:line="760" w:lineRule="exact"/>
        <w:jc w:val="center"/>
        <w:rPr>
          <w:rFonts w:eastAsia="方正小标宋简体"/>
          <w:spacing w:val="10"/>
          <w:kern w:val="0"/>
          <w:sz w:val="44"/>
          <w:szCs w:val="44"/>
        </w:rPr>
      </w:pPr>
      <w:r>
        <w:rPr>
          <w:rFonts w:eastAsia="方正小标宋简体"/>
          <w:spacing w:val="10"/>
          <w:kern w:val="0"/>
          <w:sz w:val="44"/>
          <w:szCs w:val="44"/>
        </w:rPr>
        <w:t>2021</w:t>
      </w:r>
      <w:r>
        <w:rPr>
          <w:rFonts w:hint="eastAsia" w:eastAsia="方正小标宋简体"/>
          <w:spacing w:val="10"/>
          <w:kern w:val="0"/>
          <w:sz w:val="44"/>
          <w:szCs w:val="44"/>
        </w:rPr>
        <w:t>年漯河市普通中专招生生源</w:t>
      </w:r>
    </w:p>
    <w:p>
      <w:pPr>
        <w:adjustRightInd w:val="0"/>
        <w:snapToGrid w:val="0"/>
        <w:spacing w:line="760" w:lineRule="exact"/>
        <w:jc w:val="center"/>
        <w:rPr>
          <w:rFonts w:eastAsia="方正小标宋简体"/>
          <w:spacing w:val="20"/>
          <w:kern w:val="0"/>
          <w:sz w:val="44"/>
          <w:szCs w:val="44"/>
        </w:rPr>
      </w:pPr>
      <w:r>
        <w:rPr>
          <w:rFonts w:hint="eastAsia" w:eastAsia="方正小标宋简体"/>
          <w:spacing w:val="20"/>
          <w:kern w:val="0"/>
          <w:sz w:val="44"/>
          <w:szCs w:val="44"/>
        </w:rPr>
        <w:t>任务分解表</w:t>
      </w:r>
    </w:p>
    <w:p>
      <w:pPr>
        <w:adjustRightInd w:val="0"/>
        <w:snapToGrid w:val="0"/>
        <w:spacing w:line="400" w:lineRule="exact"/>
        <w:jc w:val="center"/>
        <w:rPr>
          <w:rFonts w:eastAsia="方正小标宋简体"/>
          <w:spacing w:val="20"/>
          <w:kern w:val="0"/>
          <w:sz w:val="44"/>
          <w:szCs w:val="44"/>
        </w:rPr>
      </w:pPr>
    </w:p>
    <w:tbl>
      <w:tblPr>
        <w:tblStyle w:val="12"/>
        <w:tblW w:w="8091" w:type="dxa"/>
        <w:tblInd w:w="458"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4118"/>
        <w:gridCol w:w="397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31" w:hRule="atLeast"/>
        </w:trPr>
        <w:tc>
          <w:tcPr>
            <w:tcW w:w="4118" w:type="dxa"/>
            <w:tcBorders>
              <w:top w:val="single" w:color="auto" w:sz="8" w:space="0"/>
            </w:tcBorders>
            <w:vAlign w:val="center"/>
          </w:tcPr>
          <w:p>
            <w:pPr>
              <w:widowControl/>
              <w:jc w:val="center"/>
              <w:rPr>
                <w:rFonts w:eastAsia="黑体"/>
                <w:kern w:val="2"/>
                <w:sz w:val="24"/>
                <w:szCs w:val="24"/>
              </w:rPr>
            </w:pPr>
            <w:r>
              <w:rPr>
                <w:rFonts w:hint="eastAsia" w:eastAsia="黑体"/>
                <w:kern w:val="2"/>
                <w:sz w:val="24"/>
                <w:szCs w:val="24"/>
              </w:rPr>
              <w:t>考区名称</w:t>
            </w:r>
            <w:r>
              <w:rPr>
                <w:rFonts w:eastAsia="黑体"/>
                <w:kern w:val="2"/>
                <w:sz w:val="24"/>
                <w:szCs w:val="24"/>
              </w:rPr>
              <w:t xml:space="preserve"> </w:t>
            </w:r>
          </w:p>
        </w:tc>
        <w:tc>
          <w:tcPr>
            <w:tcW w:w="3973" w:type="dxa"/>
            <w:tcBorders>
              <w:top w:val="single" w:color="auto" w:sz="8" w:space="0"/>
            </w:tcBorders>
            <w:vAlign w:val="center"/>
          </w:tcPr>
          <w:p>
            <w:pPr>
              <w:widowControl/>
              <w:jc w:val="center"/>
              <w:rPr>
                <w:rFonts w:eastAsia="黑体"/>
                <w:kern w:val="2"/>
                <w:sz w:val="24"/>
                <w:szCs w:val="24"/>
              </w:rPr>
            </w:pPr>
            <w:r>
              <w:rPr>
                <w:rFonts w:hint="eastAsia" w:eastAsia="黑体"/>
                <w:kern w:val="2"/>
                <w:sz w:val="24"/>
                <w:szCs w:val="24"/>
              </w:rPr>
              <w:t>任务数</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4118" w:type="dxa"/>
            <w:vAlign w:val="center"/>
          </w:tcPr>
          <w:p>
            <w:pPr>
              <w:widowControl/>
              <w:jc w:val="center"/>
              <w:rPr>
                <w:b/>
                <w:kern w:val="2"/>
                <w:sz w:val="24"/>
                <w:szCs w:val="24"/>
              </w:rPr>
            </w:pPr>
            <w:r>
              <w:rPr>
                <w:rFonts w:hint="eastAsia"/>
                <w:b/>
                <w:kern w:val="2"/>
                <w:sz w:val="24"/>
                <w:szCs w:val="24"/>
              </w:rPr>
              <w:t>合</w:t>
            </w:r>
            <w:r>
              <w:rPr>
                <w:b/>
                <w:kern w:val="2"/>
                <w:sz w:val="24"/>
                <w:szCs w:val="24"/>
              </w:rPr>
              <w:t xml:space="preserve">  </w:t>
            </w:r>
            <w:r>
              <w:rPr>
                <w:rFonts w:hint="eastAsia"/>
                <w:b/>
                <w:kern w:val="2"/>
                <w:sz w:val="24"/>
                <w:szCs w:val="24"/>
              </w:rPr>
              <w:t>计</w:t>
            </w:r>
          </w:p>
        </w:tc>
        <w:tc>
          <w:tcPr>
            <w:tcW w:w="3973" w:type="dxa"/>
            <w:vAlign w:val="center"/>
          </w:tcPr>
          <w:p>
            <w:pPr>
              <w:widowControl/>
              <w:jc w:val="center"/>
              <w:rPr>
                <w:b/>
                <w:kern w:val="2"/>
                <w:sz w:val="24"/>
                <w:szCs w:val="24"/>
              </w:rPr>
            </w:pPr>
            <w:r>
              <w:rPr>
                <w:b/>
                <w:kern w:val="2"/>
                <w:sz w:val="24"/>
                <w:szCs w:val="24"/>
              </w:rPr>
              <w:t>7050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31" w:hRule="atLeast"/>
        </w:trPr>
        <w:tc>
          <w:tcPr>
            <w:tcW w:w="4118" w:type="dxa"/>
            <w:vAlign w:val="center"/>
          </w:tcPr>
          <w:p>
            <w:pPr>
              <w:widowControl/>
              <w:jc w:val="center"/>
              <w:rPr>
                <w:b/>
                <w:kern w:val="2"/>
                <w:sz w:val="24"/>
                <w:szCs w:val="24"/>
              </w:rPr>
            </w:pPr>
            <w:r>
              <w:rPr>
                <w:rFonts w:hint="eastAsia"/>
                <w:b/>
                <w:kern w:val="2"/>
                <w:sz w:val="24"/>
                <w:szCs w:val="24"/>
              </w:rPr>
              <w:t>源汇区</w:t>
            </w:r>
          </w:p>
        </w:tc>
        <w:tc>
          <w:tcPr>
            <w:tcW w:w="3973" w:type="dxa"/>
            <w:vAlign w:val="center"/>
          </w:tcPr>
          <w:p>
            <w:pPr>
              <w:widowControl/>
              <w:jc w:val="center"/>
              <w:rPr>
                <w:b/>
                <w:kern w:val="2"/>
                <w:sz w:val="24"/>
                <w:szCs w:val="24"/>
              </w:rPr>
            </w:pPr>
            <w:r>
              <w:rPr>
                <w:b/>
                <w:kern w:val="2"/>
                <w:sz w:val="24"/>
                <w:szCs w:val="24"/>
              </w:rPr>
              <w:t>1000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4118" w:type="dxa"/>
            <w:vAlign w:val="center"/>
          </w:tcPr>
          <w:p>
            <w:pPr>
              <w:widowControl/>
              <w:jc w:val="center"/>
              <w:rPr>
                <w:b/>
                <w:kern w:val="2"/>
                <w:sz w:val="24"/>
                <w:szCs w:val="24"/>
              </w:rPr>
            </w:pPr>
            <w:r>
              <w:rPr>
                <w:rFonts w:hint="eastAsia"/>
                <w:b/>
                <w:kern w:val="2"/>
                <w:sz w:val="24"/>
                <w:szCs w:val="24"/>
              </w:rPr>
              <w:t>召陵区</w:t>
            </w:r>
          </w:p>
        </w:tc>
        <w:tc>
          <w:tcPr>
            <w:tcW w:w="3973" w:type="dxa"/>
            <w:vAlign w:val="center"/>
          </w:tcPr>
          <w:p>
            <w:pPr>
              <w:widowControl/>
              <w:jc w:val="center"/>
              <w:rPr>
                <w:b/>
                <w:kern w:val="2"/>
                <w:sz w:val="24"/>
                <w:szCs w:val="24"/>
              </w:rPr>
            </w:pPr>
            <w:r>
              <w:rPr>
                <w:b/>
                <w:kern w:val="2"/>
                <w:sz w:val="24"/>
                <w:szCs w:val="24"/>
              </w:rPr>
              <w:t>1300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4118" w:type="dxa"/>
            <w:vAlign w:val="center"/>
          </w:tcPr>
          <w:p>
            <w:pPr>
              <w:widowControl/>
              <w:jc w:val="center"/>
              <w:rPr>
                <w:b/>
                <w:kern w:val="2"/>
                <w:sz w:val="24"/>
                <w:szCs w:val="24"/>
              </w:rPr>
            </w:pPr>
            <w:r>
              <w:rPr>
                <w:rFonts w:hint="eastAsia"/>
                <w:b/>
                <w:kern w:val="2"/>
                <w:sz w:val="24"/>
                <w:szCs w:val="24"/>
              </w:rPr>
              <w:t>郾城区</w:t>
            </w:r>
          </w:p>
        </w:tc>
        <w:tc>
          <w:tcPr>
            <w:tcW w:w="3973" w:type="dxa"/>
            <w:vAlign w:val="center"/>
          </w:tcPr>
          <w:p>
            <w:pPr>
              <w:widowControl/>
              <w:jc w:val="center"/>
              <w:rPr>
                <w:b/>
                <w:kern w:val="2"/>
                <w:sz w:val="24"/>
                <w:szCs w:val="24"/>
              </w:rPr>
            </w:pPr>
            <w:r>
              <w:rPr>
                <w:b/>
                <w:kern w:val="2"/>
                <w:sz w:val="24"/>
                <w:szCs w:val="24"/>
              </w:rPr>
              <w:t>1750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31" w:hRule="atLeast"/>
        </w:trPr>
        <w:tc>
          <w:tcPr>
            <w:tcW w:w="4118" w:type="dxa"/>
            <w:vAlign w:val="center"/>
          </w:tcPr>
          <w:p>
            <w:pPr>
              <w:widowControl/>
              <w:jc w:val="center"/>
              <w:rPr>
                <w:b/>
                <w:kern w:val="2"/>
                <w:sz w:val="24"/>
                <w:szCs w:val="24"/>
              </w:rPr>
            </w:pPr>
            <w:r>
              <w:rPr>
                <w:rFonts w:hint="eastAsia"/>
                <w:b/>
                <w:kern w:val="2"/>
                <w:sz w:val="24"/>
                <w:szCs w:val="24"/>
              </w:rPr>
              <w:t>舞阳县</w:t>
            </w:r>
          </w:p>
        </w:tc>
        <w:tc>
          <w:tcPr>
            <w:tcW w:w="3973" w:type="dxa"/>
            <w:vAlign w:val="center"/>
          </w:tcPr>
          <w:p>
            <w:pPr>
              <w:widowControl/>
              <w:jc w:val="center"/>
              <w:rPr>
                <w:b/>
                <w:kern w:val="2"/>
                <w:sz w:val="24"/>
                <w:szCs w:val="24"/>
              </w:rPr>
            </w:pPr>
            <w:r>
              <w:rPr>
                <w:b/>
                <w:kern w:val="2"/>
                <w:sz w:val="24"/>
                <w:szCs w:val="24"/>
              </w:rPr>
              <w:t>1100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31" w:hRule="atLeast"/>
        </w:trPr>
        <w:tc>
          <w:tcPr>
            <w:tcW w:w="4118" w:type="dxa"/>
            <w:tcBorders>
              <w:bottom w:val="single" w:color="auto" w:sz="8" w:space="0"/>
            </w:tcBorders>
            <w:vAlign w:val="center"/>
          </w:tcPr>
          <w:p>
            <w:pPr>
              <w:widowControl/>
              <w:jc w:val="center"/>
              <w:rPr>
                <w:b/>
                <w:kern w:val="2"/>
                <w:sz w:val="24"/>
                <w:szCs w:val="24"/>
              </w:rPr>
            </w:pPr>
            <w:r>
              <w:rPr>
                <w:rFonts w:hint="eastAsia"/>
                <w:b/>
                <w:kern w:val="2"/>
                <w:sz w:val="24"/>
                <w:szCs w:val="24"/>
              </w:rPr>
              <w:t>临颍县</w:t>
            </w:r>
          </w:p>
        </w:tc>
        <w:tc>
          <w:tcPr>
            <w:tcW w:w="3973" w:type="dxa"/>
            <w:tcBorders>
              <w:bottom w:val="single" w:color="auto" w:sz="8" w:space="0"/>
            </w:tcBorders>
            <w:vAlign w:val="center"/>
          </w:tcPr>
          <w:p>
            <w:pPr>
              <w:widowControl/>
              <w:jc w:val="center"/>
              <w:rPr>
                <w:b/>
                <w:kern w:val="2"/>
                <w:sz w:val="24"/>
                <w:szCs w:val="24"/>
              </w:rPr>
            </w:pPr>
            <w:r>
              <w:rPr>
                <w:b/>
                <w:kern w:val="2"/>
                <w:sz w:val="24"/>
                <w:szCs w:val="24"/>
              </w:rPr>
              <w:t>1900</w:t>
            </w:r>
          </w:p>
        </w:tc>
      </w:tr>
    </w:tbl>
    <w:p>
      <w:pPr>
        <w:adjustRightInd w:val="0"/>
        <w:snapToGrid w:val="0"/>
        <w:spacing w:line="760" w:lineRule="exact"/>
        <w:jc w:val="center"/>
        <w:rPr>
          <w:rFonts w:eastAsia="方正小标宋简体"/>
          <w:spacing w:val="20"/>
          <w:kern w:val="0"/>
          <w:sz w:val="44"/>
          <w:szCs w:val="44"/>
        </w:rPr>
      </w:pPr>
    </w:p>
    <w:p>
      <w:pPr>
        <w:adjustRightInd w:val="0"/>
        <w:snapToGrid w:val="0"/>
        <w:spacing w:line="760" w:lineRule="exact"/>
        <w:jc w:val="center"/>
        <w:rPr>
          <w:rFonts w:eastAsia="方正小标宋简体"/>
          <w:spacing w:val="20"/>
          <w:kern w:val="0"/>
          <w:sz w:val="44"/>
          <w:szCs w:val="44"/>
        </w:rPr>
      </w:pPr>
    </w:p>
    <w:p>
      <w:pPr>
        <w:spacing w:line="580" w:lineRule="exact"/>
        <w:jc w:val="center"/>
        <w:rPr>
          <w:rFonts w:eastAsia="仿宋_GB2312"/>
          <w:sz w:val="32"/>
          <w:szCs w:val="32"/>
        </w:rPr>
      </w:pPr>
    </w:p>
    <w:p>
      <w:pPr>
        <w:rPr>
          <w:rFonts w:eastAsia="仿宋_GB2312"/>
          <w:sz w:val="32"/>
          <w:szCs w:val="32"/>
        </w:rPr>
      </w:pPr>
    </w:p>
    <w:p>
      <w:pPr>
        <w:spacing w:line="500" w:lineRule="exact"/>
        <w:rPr>
          <w:rFonts w:eastAsia="仿宋_GB2312"/>
          <w:sz w:val="32"/>
          <w:szCs w:val="32"/>
        </w:rPr>
      </w:pPr>
    </w:p>
    <w:p>
      <w:pPr>
        <w:spacing w:line="500" w:lineRule="exact"/>
        <w:rPr>
          <w:rFonts w:eastAsia="仿宋_GB2312"/>
          <w:sz w:val="32"/>
          <w:szCs w:val="32"/>
        </w:rPr>
      </w:pPr>
    </w:p>
    <w:p>
      <w:pPr>
        <w:spacing w:line="500" w:lineRule="exact"/>
        <w:rPr>
          <w:rFonts w:eastAsia="仿宋_GB2312"/>
          <w:sz w:val="32"/>
          <w:szCs w:val="32"/>
        </w:rPr>
      </w:pPr>
    </w:p>
    <w:p>
      <w:pPr>
        <w:spacing w:line="500" w:lineRule="exact"/>
        <w:rPr>
          <w:rFonts w:eastAsia="仿宋_GB2312"/>
          <w:sz w:val="32"/>
          <w:szCs w:val="32"/>
        </w:rPr>
      </w:pPr>
    </w:p>
    <w:p>
      <w:pPr>
        <w:spacing w:line="590" w:lineRule="exact"/>
        <w:ind w:right="-17"/>
        <w:rPr>
          <w:rFonts w:eastAsia="微软简标宋"/>
          <w:spacing w:val="20"/>
          <w:sz w:val="28"/>
          <w:szCs w:val="28"/>
        </w:rPr>
      </w:pPr>
    </w:p>
    <w:p>
      <w:pPr>
        <w:spacing w:line="500" w:lineRule="exact"/>
        <w:ind w:right="-17"/>
        <w:rPr>
          <w:rFonts w:eastAsia="仿宋_GB2312"/>
          <w:sz w:val="28"/>
          <w:szCs w:val="28"/>
        </w:rPr>
      </w:pPr>
      <w:r>
        <mc:AlternateContent>
          <mc:Choice Requires="wps">
            <w:drawing>
              <wp:anchor distT="0" distB="0" distL="114300" distR="114300" simplePos="0" relativeHeight="251660288" behindDoc="0" locked="0" layoutInCell="1" allowOverlap="1">
                <wp:simplePos x="0" y="0"/>
                <wp:positionH relativeFrom="column">
                  <wp:posOffset>-1270</wp:posOffset>
                </wp:positionH>
                <wp:positionV relativeFrom="paragraph">
                  <wp:posOffset>21590</wp:posOffset>
                </wp:positionV>
                <wp:extent cx="5734050" cy="635"/>
                <wp:effectExtent l="0" t="0" r="0" b="0"/>
                <wp:wrapNone/>
                <wp:docPr id="2" name="直线 4"/>
                <wp:cNvGraphicFramePr/>
                <a:graphic xmlns:a="http://schemas.openxmlformats.org/drawingml/2006/main">
                  <a:graphicData uri="http://schemas.microsoft.com/office/word/2010/wordprocessingShape">
                    <wps:wsp>
                      <wps:cNvSpPr/>
                      <wps:spPr>
                        <a:xfrm>
                          <a:off x="0" y="0"/>
                          <a:ext cx="5734050" cy="6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4" o:spid="_x0000_s1026" o:spt="20" style="position:absolute;left:0pt;margin-left:-0.1pt;margin-top:1.7pt;height:0.05pt;width:451.5pt;z-index:251660288;mso-width-relative:page;mso-height-relative:page;" filled="f" stroked="t" coordsize="21600,21600" o:gfxdata="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HAvLVNMAAAAF&#10;AQAADwAAAAAAAAABACAAAAAiAAAAZHJzL2Rvd25yZXYueG1sUEsBAhQAFAAAAAgAh07iQDrukUno&#10;AQAA3QMAAA4AAAAAAAAAAQAgAAAAIgEAAGRycy9lMm9Eb2MueG1sUEsFBgAAAAAGAAYAWQEAAHwF&#10;AAAAAA==&#10;">
                <v:fill on="f" focussize="0,0"/>
                <v:stroke color="#000000" joinstyle="round"/>
                <v:imagedata o:title=""/>
                <o:lock v:ext="edit" aspectratio="f"/>
              </v:line>
            </w:pict>
          </mc:Fallback>
        </mc:AlternateContent>
      </w:r>
      <w:r>
        <w:rPr>
          <w:rFonts w:eastAsia="仿宋_GB2312"/>
          <w:sz w:val="28"/>
          <w:szCs w:val="28"/>
        </w:rPr>
        <w:t xml:space="preserve">  </w:t>
      </w:r>
      <w:r>
        <w:rPr>
          <w:rFonts w:hint="eastAsia" w:eastAsia="仿宋_GB2312"/>
          <w:sz w:val="28"/>
          <w:szCs w:val="28"/>
        </w:rPr>
        <w:t>漯河市教育局办公室</w:t>
      </w:r>
      <w:r>
        <w:rPr>
          <w:rFonts w:eastAsia="仿宋_GB2312"/>
          <w:sz w:val="28"/>
          <w:szCs w:val="28"/>
        </w:rPr>
        <w:t xml:space="preserve">                      2021</w:t>
      </w:r>
      <w:r>
        <w:rPr>
          <w:rFonts w:hint="eastAsia" w:eastAsia="仿宋_GB2312"/>
          <w:sz w:val="28"/>
          <w:szCs w:val="28"/>
        </w:rPr>
        <w:t>年</w:t>
      </w:r>
      <w:r>
        <w:rPr>
          <w:rFonts w:eastAsia="仿宋_GB2312"/>
          <w:sz w:val="28"/>
          <w:szCs w:val="28"/>
        </w:rPr>
        <w:t>5</w:t>
      </w:r>
      <w:r>
        <w:rPr>
          <w:rFonts w:hint="eastAsia" w:eastAsia="仿宋_GB2312"/>
          <w:sz w:val="28"/>
          <w:szCs w:val="28"/>
        </w:rPr>
        <w:t>月</w:t>
      </w:r>
      <w:r>
        <w:rPr>
          <w:rFonts w:eastAsia="仿宋_GB2312"/>
          <w:sz w:val="28"/>
          <w:szCs w:val="28"/>
        </w:rPr>
        <w:t>26</w:t>
      </w:r>
      <w:r>
        <w:rPr>
          <w:rFonts w:hint="eastAsia" w:eastAsia="仿宋_GB2312"/>
          <w:sz w:val="28"/>
          <w:szCs w:val="28"/>
        </w:rPr>
        <w:t>日印发</w:t>
      </w:r>
      <w:r>
        <w:rPr>
          <w:rFonts w:eastAsia="仿宋_GB2312"/>
          <w:sz w:val="28"/>
          <w:szCs w:val="28"/>
        </w:rPr>
        <w:t xml:space="preserve">  </w:t>
      </w:r>
    </w:p>
    <w:p>
      <w:pPr>
        <w:spacing w:line="260" w:lineRule="exact"/>
        <w:ind w:right="-17"/>
        <w:rPr>
          <w:sz w:val="28"/>
          <w:szCs w:val="28"/>
        </w:rPr>
      </w:pPr>
      <w:r>
        <mc:AlternateContent>
          <mc:Choice Requires="wps">
            <w:drawing>
              <wp:anchor distT="0" distB="0" distL="114300" distR="114300" simplePos="0" relativeHeight="251659264" behindDoc="0" locked="0" layoutInCell="0" allowOverlap="1">
                <wp:simplePos x="0" y="0"/>
                <wp:positionH relativeFrom="column">
                  <wp:posOffset>0</wp:posOffset>
                </wp:positionH>
                <wp:positionV relativeFrom="paragraph">
                  <wp:posOffset>37465</wp:posOffset>
                </wp:positionV>
                <wp:extent cx="5734050" cy="635"/>
                <wp:effectExtent l="0" t="0" r="0" b="0"/>
                <wp:wrapNone/>
                <wp:docPr id="1" name="直线 5"/>
                <wp:cNvGraphicFramePr/>
                <a:graphic xmlns:a="http://schemas.openxmlformats.org/drawingml/2006/main">
                  <a:graphicData uri="http://schemas.microsoft.com/office/word/2010/wordprocessingShape">
                    <wps:wsp>
                      <wps:cNvSpPr/>
                      <wps:spPr>
                        <a:xfrm>
                          <a:off x="0" y="0"/>
                          <a:ext cx="5734050" cy="6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5" o:spid="_x0000_s1026" o:spt="20" style="position:absolute;left:0pt;margin-left:0pt;margin-top:2.95pt;height:0.05pt;width:451.5pt;z-index:251659264;mso-width-relative:page;mso-height-relative:page;" filled="f" stroked="t" coordsize="21600,21600" o:allowincell="f" o:gfxdata="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2VseZ0wAA&#10;AAQBAAAPAAAAAAAAAAEAIAAAACIAAABkcnMvZG93bnJldi54bWxQSwECFAAUAAAACACHTuJAJEJ4&#10;geoBAADdAwAADgAAAAAAAAABACAAAAAiAQAAZHJzL2Uyb0RvYy54bWxQSwUGAAAAAAYABgBZAQAA&#10;fgUAAAAA&#10;">
                <v:fill on="f" focussize="0,0"/>
                <v:stroke color="#000000" joinstyle="round"/>
                <v:imagedata o:title=""/>
                <o:lock v:ext="edit" aspectratio="f"/>
              </v:line>
            </w:pict>
          </mc:Fallback>
        </mc:AlternateContent>
      </w:r>
    </w:p>
    <w:sectPr>
      <w:footerReference r:id="rId5" w:type="default"/>
      <w:footerReference r:id="rId6" w:type="even"/>
      <w:pgSz w:w="11906" w:h="16838"/>
      <w:pgMar w:top="1701" w:right="1304" w:bottom="1134" w:left="1304" w:header="1134" w:footer="1588" w:gutter="284"/>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EFF" w:usb1="C0007843" w:usb2="00000009" w:usb3="00000000" w:csb0="400001FF" w:csb1="FFFF0000"/>
  </w:font>
  <w:font w:name="微软大标宋">
    <w:altName w:val="新宋体"/>
    <w:panose1 w:val="00000000000000000000"/>
    <w:charset w:val="86"/>
    <w:family w:val="modern"/>
    <w:pitch w:val="default"/>
    <w:sig w:usb0="00000000" w:usb1="00000000" w:usb2="00000010" w:usb3="00000000" w:csb0="00040000" w:csb1="00000000"/>
  </w:font>
  <w:font w:name="新宋体">
    <w:panose1 w:val="02010609030101010101"/>
    <w:charset w:val="86"/>
    <w:family w:val="auto"/>
    <w:pitch w:val="default"/>
    <w:sig w:usb0="00000283" w:usb1="288F0000" w:usb2="00000006" w:usb3="00000000" w:csb0="00040001" w:csb1="00000000"/>
  </w:font>
  <w:font w:name="Cambria">
    <w:panose1 w:val="02040503050406030204"/>
    <w:charset w:val="00"/>
    <w:family w:val="roman"/>
    <w:pitch w:val="default"/>
    <w:sig w:usb0="E00006FF" w:usb1="420024FF" w:usb2="02000000" w:usb3="00000000" w:csb0="2000019F" w:csb1="00000000"/>
  </w:font>
  <w:font w:name="Tahoma">
    <w:panose1 w:val="020B0604030504040204"/>
    <w:charset w:val="00"/>
    <w:family w:val="swiss"/>
    <w:pitch w:val="default"/>
    <w:sig w:usb0="E1002EFF" w:usb1="C000605B" w:usb2="00000029" w:usb3="00000000" w:csb0="200101FF" w:csb1="20280000"/>
  </w:font>
  <w:font w:name="微软简标宋">
    <w:altName w:val="宋体"/>
    <w:panose1 w:val="00000000000000000000"/>
    <w:charset w:val="86"/>
    <w:family w:val="auto"/>
    <w:pitch w:val="default"/>
    <w:sig w:usb0="00000000" w:usb1="00000000" w:usb2="00000010" w:usb3="00000000" w:csb0="00040000" w:csb1="00000000"/>
  </w:font>
  <w:font w:name="方正小标宋简体">
    <w:altName w:val="宋体"/>
    <w:panose1 w:val="02010601030101010101"/>
    <w:charset w:val="86"/>
    <w:family w:val="auto"/>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right="360" w:firstLine="360"/>
      <w:jc w:val="right"/>
      <w:rPr>
        <w:rFonts w:ascii="宋体"/>
        <w:sz w:val="28"/>
        <w:szCs w:val="28"/>
      </w:rPr>
    </w:pPr>
    <w:r>
      <w:rPr>
        <w:rFonts w:ascii="宋体" w:hAnsi="宋体"/>
        <w:sz w:val="28"/>
        <w:szCs w:val="28"/>
      </w:rPr>
      <w:t xml:space="preserve">  </w:t>
    </w:r>
    <w:r>
      <w:rPr>
        <w:rFonts w:hint="eastAsia" w:ascii="宋体" w:hAnsi="宋体"/>
        <w:sz w:val="28"/>
        <w:szCs w:val="28"/>
      </w:rPr>
      <w:t>一</w:t>
    </w:r>
    <w:r>
      <w:rPr>
        <w:rFonts w:ascii="宋体" w:hAnsi="宋体"/>
        <w:sz w:val="28"/>
        <w:szCs w:val="28"/>
      </w:rPr>
      <w:fldChar w:fldCharType="begin"/>
    </w:r>
    <w:r>
      <w:rPr>
        <w:rFonts w:ascii="宋体" w:hAnsi="宋体"/>
        <w:sz w:val="28"/>
        <w:szCs w:val="28"/>
      </w:rPr>
      <w:instrText xml:space="preserve"> PAGE </w:instrText>
    </w:r>
    <w:r>
      <w:rPr>
        <w:rFonts w:ascii="宋体" w:hAnsi="宋体"/>
        <w:sz w:val="28"/>
        <w:szCs w:val="28"/>
      </w:rPr>
      <w:fldChar w:fldCharType="separate"/>
    </w:r>
    <w:r>
      <w:rPr>
        <w:rFonts w:ascii="宋体" w:hAnsi="宋体"/>
        <w:sz w:val="28"/>
        <w:szCs w:val="28"/>
      </w:rPr>
      <w:t>15</w:t>
    </w:r>
    <w:r>
      <w:rPr>
        <w:rFonts w:ascii="宋体" w:hAnsi="宋体"/>
        <w:sz w:val="28"/>
        <w:szCs w:val="28"/>
      </w:rPr>
      <w:fldChar w:fldCharType="end"/>
    </w:r>
    <w:r>
      <w:rPr>
        <w:rFonts w:hint="eastAsia" w:ascii="宋体" w:hAnsi="宋体"/>
        <w:sz w:val="28"/>
        <w:szCs w:val="28"/>
      </w:rPr>
      <w:t>一</w:t>
    </w:r>
    <w:r>
      <w:rPr>
        <w:rFonts w:ascii="宋体" w:hAnsi="宋体"/>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right="360"/>
      <w:jc w:val="both"/>
      <w:rPr>
        <w:rFonts w:ascii="宋体"/>
        <w:sz w:val="28"/>
        <w:szCs w:val="28"/>
      </w:rPr>
    </w:pPr>
    <w:r>
      <w:rPr>
        <w:rFonts w:ascii="宋体" w:hAnsi="宋体"/>
        <w:sz w:val="28"/>
        <w:szCs w:val="28"/>
      </w:rPr>
      <w:t xml:space="preserve">  </w:t>
    </w:r>
    <w:r>
      <w:rPr>
        <w:rFonts w:hint="eastAsia" w:ascii="宋体" w:hAnsi="宋体"/>
        <w:sz w:val="28"/>
        <w:szCs w:val="28"/>
      </w:rPr>
      <w:t>一</w:t>
    </w:r>
    <w:r>
      <w:rPr>
        <w:rFonts w:ascii="宋体" w:hAnsi="宋体"/>
        <w:sz w:val="28"/>
        <w:szCs w:val="28"/>
      </w:rPr>
      <w:fldChar w:fldCharType="begin"/>
    </w:r>
    <w:r>
      <w:rPr>
        <w:rFonts w:ascii="宋体" w:hAnsi="宋体"/>
        <w:sz w:val="28"/>
        <w:szCs w:val="28"/>
      </w:rPr>
      <w:instrText xml:space="preserve"> PAGE </w:instrText>
    </w:r>
    <w:r>
      <w:rPr>
        <w:rFonts w:ascii="宋体" w:hAnsi="宋体"/>
        <w:sz w:val="28"/>
        <w:szCs w:val="28"/>
      </w:rPr>
      <w:fldChar w:fldCharType="separate"/>
    </w:r>
    <w:r>
      <w:rPr>
        <w:rFonts w:ascii="宋体" w:hAnsi="宋体"/>
        <w:sz w:val="28"/>
        <w:szCs w:val="28"/>
      </w:rPr>
      <w:t>16</w:t>
    </w:r>
    <w:r>
      <w:rPr>
        <w:rFonts w:ascii="宋体" w:hAnsi="宋体"/>
        <w:sz w:val="28"/>
        <w:szCs w:val="28"/>
      </w:rPr>
      <w:fldChar w:fldCharType="end"/>
    </w:r>
    <w:r>
      <w:rPr>
        <w:rFonts w:hint="eastAsia" w:ascii="宋体" w:hAnsi="宋体"/>
        <w:sz w:val="28"/>
        <w:szCs w:val="28"/>
      </w:rPr>
      <w:t>一</w:t>
    </w:r>
    <w:r>
      <w:rPr>
        <w:rFonts w:ascii="宋体" w:hAnsi="宋体"/>
        <w:sz w:val="28"/>
        <w:szCs w:val="2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right="280"/>
      <w:jc w:val="right"/>
      <w:rPr>
        <w:rFonts w:ascii="宋体"/>
        <w:sz w:val="28"/>
        <w:szCs w:val="28"/>
      </w:rPr>
    </w:pPr>
    <w:r>
      <w:rPr>
        <w:rFonts w:ascii="宋体" w:hAnsi="宋体"/>
        <w:kern w:val="0"/>
        <w:sz w:val="28"/>
        <w:szCs w:val="28"/>
      </w:rPr>
      <w:t xml:space="preserve">  </w:t>
    </w:r>
    <w:r>
      <w:rPr>
        <w:rFonts w:hint="eastAsia" w:ascii="宋体" w:hAnsi="宋体"/>
        <w:kern w:val="0"/>
        <w:sz w:val="28"/>
        <w:szCs w:val="28"/>
      </w:rPr>
      <w:t>一</w:t>
    </w:r>
    <w:r>
      <w:rPr>
        <w:rFonts w:ascii="宋体" w:hAnsi="宋体"/>
        <w:kern w:val="0"/>
        <w:sz w:val="28"/>
        <w:szCs w:val="28"/>
      </w:rPr>
      <w:fldChar w:fldCharType="begin"/>
    </w:r>
    <w:r>
      <w:rPr>
        <w:rFonts w:ascii="宋体" w:hAnsi="宋体"/>
        <w:kern w:val="0"/>
        <w:sz w:val="28"/>
        <w:szCs w:val="28"/>
      </w:rPr>
      <w:instrText xml:space="preserve"> PAGE </w:instrText>
    </w:r>
    <w:r>
      <w:rPr>
        <w:rFonts w:ascii="宋体" w:hAnsi="宋体"/>
        <w:kern w:val="0"/>
        <w:sz w:val="28"/>
        <w:szCs w:val="28"/>
      </w:rPr>
      <w:fldChar w:fldCharType="separate"/>
    </w:r>
    <w:r>
      <w:rPr>
        <w:rFonts w:ascii="宋体" w:hAnsi="宋体"/>
        <w:kern w:val="0"/>
        <w:sz w:val="28"/>
        <w:szCs w:val="28"/>
      </w:rPr>
      <w:t>19</w:t>
    </w:r>
    <w:r>
      <w:rPr>
        <w:rFonts w:ascii="宋体" w:hAnsi="宋体"/>
        <w:kern w:val="0"/>
        <w:sz w:val="28"/>
        <w:szCs w:val="28"/>
      </w:rPr>
      <w:fldChar w:fldCharType="end"/>
    </w:r>
    <w:r>
      <w:rPr>
        <w:rFonts w:hint="eastAsia" w:ascii="宋体" w:hAnsi="宋体"/>
        <w:kern w:val="0"/>
        <w:sz w:val="28"/>
        <w:szCs w:val="28"/>
      </w:rPr>
      <w:t>一</w:t>
    </w:r>
    <w:r>
      <w:rPr>
        <w:rFonts w:ascii="宋体" w:hAnsi="宋体"/>
        <w:kern w:val="0"/>
        <w:sz w:val="28"/>
        <w:szCs w:val="28"/>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right="280"/>
      <w:jc w:val="both"/>
      <w:rPr>
        <w:rFonts w:ascii="宋体"/>
        <w:sz w:val="28"/>
        <w:szCs w:val="28"/>
      </w:rPr>
    </w:pPr>
    <w:r>
      <w:rPr>
        <w:rFonts w:ascii="宋体" w:hAnsi="宋体"/>
        <w:kern w:val="0"/>
        <w:sz w:val="28"/>
        <w:szCs w:val="28"/>
      </w:rPr>
      <w:t xml:space="preserve">  </w:t>
    </w:r>
    <w:r>
      <w:rPr>
        <w:rFonts w:hint="eastAsia" w:ascii="宋体" w:hAnsi="宋体"/>
        <w:kern w:val="0"/>
        <w:sz w:val="28"/>
        <w:szCs w:val="28"/>
      </w:rPr>
      <w:t>一</w:t>
    </w:r>
    <w:r>
      <w:rPr>
        <w:rFonts w:ascii="宋体" w:hAnsi="宋体"/>
        <w:kern w:val="0"/>
        <w:sz w:val="28"/>
        <w:szCs w:val="28"/>
      </w:rPr>
      <w:fldChar w:fldCharType="begin"/>
    </w:r>
    <w:r>
      <w:rPr>
        <w:rFonts w:ascii="宋体" w:hAnsi="宋体"/>
        <w:kern w:val="0"/>
        <w:sz w:val="28"/>
        <w:szCs w:val="28"/>
      </w:rPr>
      <w:instrText xml:space="preserve"> PAGE </w:instrText>
    </w:r>
    <w:r>
      <w:rPr>
        <w:rFonts w:ascii="宋体" w:hAnsi="宋体"/>
        <w:kern w:val="0"/>
        <w:sz w:val="28"/>
        <w:szCs w:val="28"/>
      </w:rPr>
      <w:fldChar w:fldCharType="separate"/>
    </w:r>
    <w:r>
      <w:rPr>
        <w:rFonts w:ascii="宋体" w:hAnsi="宋体"/>
        <w:kern w:val="0"/>
        <w:sz w:val="28"/>
        <w:szCs w:val="28"/>
      </w:rPr>
      <w:t>20</w:t>
    </w:r>
    <w:r>
      <w:rPr>
        <w:rFonts w:ascii="宋体" w:hAnsi="宋体"/>
        <w:kern w:val="0"/>
        <w:sz w:val="28"/>
        <w:szCs w:val="28"/>
      </w:rPr>
      <w:fldChar w:fldCharType="end"/>
    </w:r>
    <w:r>
      <w:rPr>
        <w:rFonts w:hint="eastAsia" w:ascii="宋体" w:hAnsi="宋体"/>
        <w:kern w:val="0"/>
        <w:sz w:val="28"/>
        <w:szCs w:val="28"/>
      </w:rPr>
      <w:t>一</w:t>
    </w:r>
    <w:r>
      <w:rPr>
        <w:rFonts w:ascii="宋体" w:hAnsi="宋体"/>
        <w:kern w:val="0"/>
        <w:sz w:val="28"/>
        <w:szCs w:val="28"/>
      </w:rP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evenAndOddHeaders w:val="1"/>
  <w:drawingGridHorizontalSpacing w:val="105"/>
  <w:drawingGridVerticalSpacing w:val="156"/>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931"/>
    <w:rsid w:val="00007AA0"/>
    <w:rsid w:val="00010D85"/>
    <w:rsid w:val="0001105D"/>
    <w:rsid w:val="0001279B"/>
    <w:rsid w:val="0001387E"/>
    <w:rsid w:val="00015F8C"/>
    <w:rsid w:val="00017B93"/>
    <w:rsid w:val="0002029F"/>
    <w:rsid w:val="00027C3A"/>
    <w:rsid w:val="00035955"/>
    <w:rsid w:val="00035AD3"/>
    <w:rsid w:val="00037CFA"/>
    <w:rsid w:val="00044030"/>
    <w:rsid w:val="00044454"/>
    <w:rsid w:val="00046A58"/>
    <w:rsid w:val="00063481"/>
    <w:rsid w:val="0006388D"/>
    <w:rsid w:val="000670EE"/>
    <w:rsid w:val="00071394"/>
    <w:rsid w:val="00071A45"/>
    <w:rsid w:val="000720E9"/>
    <w:rsid w:val="0007443F"/>
    <w:rsid w:val="0007550E"/>
    <w:rsid w:val="000757C7"/>
    <w:rsid w:val="0008153D"/>
    <w:rsid w:val="000938BC"/>
    <w:rsid w:val="00093917"/>
    <w:rsid w:val="000C00A2"/>
    <w:rsid w:val="000C4997"/>
    <w:rsid w:val="000C49C2"/>
    <w:rsid w:val="000C53C4"/>
    <w:rsid w:val="000D381A"/>
    <w:rsid w:val="000E08AE"/>
    <w:rsid w:val="000E7655"/>
    <w:rsid w:val="000F24B4"/>
    <w:rsid w:val="000F421A"/>
    <w:rsid w:val="001019C0"/>
    <w:rsid w:val="001019D2"/>
    <w:rsid w:val="00101CAA"/>
    <w:rsid w:val="00105D85"/>
    <w:rsid w:val="00106172"/>
    <w:rsid w:val="0012186B"/>
    <w:rsid w:val="00126CFC"/>
    <w:rsid w:val="0013079A"/>
    <w:rsid w:val="0013088A"/>
    <w:rsid w:val="00136A91"/>
    <w:rsid w:val="00140FA1"/>
    <w:rsid w:val="001435B9"/>
    <w:rsid w:val="00145F7B"/>
    <w:rsid w:val="00147BB0"/>
    <w:rsid w:val="00153EC4"/>
    <w:rsid w:val="00160BCB"/>
    <w:rsid w:val="001622C1"/>
    <w:rsid w:val="00165140"/>
    <w:rsid w:val="00166666"/>
    <w:rsid w:val="00172A27"/>
    <w:rsid w:val="00173D2C"/>
    <w:rsid w:val="00182A60"/>
    <w:rsid w:val="001830F5"/>
    <w:rsid w:val="00183F4B"/>
    <w:rsid w:val="001855B7"/>
    <w:rsid w:val="00191ED4"/>
    <w:rsid w:val="001929B7"/>
    <w:rsid w:val="0019320C"/>
    <w:rsid w:val="001A399B"/>
    <w:rsid w:val="001A4B49"/>
    <w:rsid w:val="001A687B"/>
    <w:rsid w:val="001A6D55"/>
    <w:rsid w:val="001B21D3"/>
    <w:rsid w:val="001B6B15"/>
    <w:rsid w:val="001B758D"/>
    <w:rsid w:val="001C163D"/>
    <w:rsid w:val="001C4494"/>
    <w:rsid w:val="001C539D"/>
    <w:rsid w:val="001C5FD7"/>
    <w:rsid w:val="001C688A"/>
    <w:rsid w:val="001C72E8"/>
    <w:rsid w:val="001D2B55"/>
    <w:rsid w:val="001D3280"/>
    <w:rsid w:val="001D606A"/>
    <w:rsid w:val="001E068C"/>
    <w:rsid w:val="001E2978"/>
    <w:rsid w:val="001E54F9"/>
    <w:rsid w:val="001F1A80"/>
    <w:rsid w:val="001F2FDE"/>
    <w:rsid w:val="001F3219"/>
    <w:rsid w:val="001F68A5"/>
    <w:rsid w:val="001F6AEB"/>
    <w:rsid w:val="00200D3F"/>
    <w:rsid w:val="00202AFE"/>
    <w:rsid w:val="002070C1"/>
    <w:rsid w:val="00213D85"/>
    <w:rsid w:val="00214334"/>
    <w:rsid w:val="00217C8D"/>
    <w:rsid w:val="0023032D"/>
    <w:rsid w:val="00232F1A"/>
    <w:rsid w:val="00237973"/>
    <w:rsid w:val="002415AF"/>
    <w:rsid w:val="00242B33"/>
    <w:rsid w:val="0026090E"/>
    <w:rsid w:val="00261D83"/>
    <w:rsid w:val="0026710F"/>
    <w:rsid w:val="002679D3"/>
    <w:rsid w:val="002736D6"/>
    <w:rsid w:val="0027454B"/>
    <w:rsid w:val="00274DDE"/>
    <w:rsid w:val="00283482"/>
    <w:rsid w:val="00283E0E"/>
    <w:rsid w:val="00284204"/>
    <w:rsid w:val="0028530E"/>
    <w:rsid w:val="0028571D"/>
    <w:rsid w:val="002870DD"/>
    <w:rsid w:val="002932D3"/>
    <w:rsid w:val="00293482"/>
    <w:rsid w:val="00293FF6"/>
    <w:rsid w:val="00295100"/>
    <w:rsid w:val="00296F12"/>
    <w:rsid w:val="002A6BDC"/>
    <w:rsid w:val="002B2B2B"/>
    <w:rsid w:val="002B2C5C"/>
    <w:rsid w:val="002B5B4D"/>
    <w:rsid w:val="002C1A96"/>
    <w:rsid w:val="002C3A35"/>
    <w:rsid w:val="002C699B"/>
    <w:rsid w:val="002D0919"/>
    <w:rsid w:val="002D2045"/>
    <w:rsid w:val="002D23FA"/>
    <w:rsid w:val="002D68E1"/>
    <w:rsid w:val="002D7513"/>
    <w:rsid w:val="002E4497"/>
    <w:rsid w:val="002E6CFD"/>
    <w:rsid w:val="002F0B33"/>
    <w:rsid w:val="002F3A01"/>
    <w:rsid w:val="003006FB"/>
    <w:rsid w:val="00312431"/>
    <w:rsid w:val="003154F4"/>
    <w:rsid w:val="00323B90"/>
    <w:rsid w:val="003302F4"/>
    <w:rsid w:val="00336781"/>
    <w:rsid w:val="00343D45"/>
    <w:rsid w:val="00344479"/>
    <w:rsid w:val="00351193"/>
    <w:rsid w:val="0035124D"/>
    <w:rsid w:val="003571CF"/>
    <w:rsid w:val="0036157F"/>
    <w:rsid w:val="003629FD"/>
    <w:rsid w:val="00366911"/>
    <w:rsid w:val="00370EE7"/>
    <w:rsid w:val="00371829"/>
    <w:rsid w:val="00373682"/>
    <w:rsid w:val="003740D8"/>
    <w:rsid w:val="003769E7"/>
    <w:rsid w:val="00377672"/>
    <w:rsid w:val="00382661"/>
    <w:rsid w:val="0038440F"/>
    <w:rsid w:val="00392401"/>
    <w:rsid w:val="003937FC"/>
    <w:rsid w:val="00394C95"/>
    <w:rsid w:val="003B0880"/>
    <w:rsid w:val="003B1B30"/>
    <w:rsid w:val="003B36B9"/>
    <w:rsid w:val="003B560C"/>
    <w:rsid w:val="003C5A26"/>
    <w:rsid w:val="003D2515"/>
    <w:rsid w:val="003D2E71"/>
    <w:rsid w:val="003D3906"/>
    <w:rsid w:val="003D56EB"/>
    <w:rsid w:val="003D5E84"/>
    <w:rsid w:val="003E1C8B"/>
    <w:rsid w:val="003E2E50"/>
    <w:rsid w:val="003E445C"/>
    <w:rsid w:val="003E4C2E"/>
    <w:rsid w:val="003E7BB8"/>
    <w:rsid w:val="003F66A5"/>
    <w:rsid w:val="003F71C5"/>
    <w:rsid w:val="00401B7D"/>
    <w:rsid w:val="00401EA0"/>
    <w:rsid w:val="00403058"/>
    <w:rsid w:val="00404BBE"/>
    <w:rsid w:val="00416766"/>
    <w:rsid w:val="00416CBF"/>
    <w:rsid w:val="00420136"/>
    <w:rsid w:val="00421520"/>
    <w:rsid w:val="004217DA"/>
    <w:rsid w:val="00422E78"/>
    <w:rsid w:val="00425342"/>
    <w:rsid w:val="004263AB"/>
    <w:rsid w:val="004316FA"/>
    <w:rsid w:val="004335DD"/>
    <w:rsid w:val="00433EA5"/>
    <w:rsid w:val="0043777D"/>
    <w:rsid w:val="004408C4"/>
    <w:rsid w:val="004476B5"/>
    <w:rsid w:val="004477C0"/>
    <w:rsid w:val="004517DD"/>
    <w:rsid w:val="00452147"/>
    <w:rsid w:val="004546E1"/>
    <w:rsid w:val="00462AA5"/>
    <w:rsid w:val="004702F6"/>
    <w:rsid w:val="00473EC6"/>
    <w:rsid w:val="0047514B"/>
    <w:rsid w:val="00477FD5"/>
    <w:rsid w:val="004810ED"/>
    <w:rsid w:val="00483894"/>
    <w:rsid w:val="00484686"/>
    <w:rsid w:val="00495DCF"/>
    <w:rsid w:val="004A0D55"/>
    <w:rsid w:val="004A191E"/>
    <w:rsid w:val="004A26D2"/>
    <w:rsid w:val="004A6125"/>
    <w:rsid w:val="004A6DCB"/>
    <w:rsid w:val="004B3D9C"/>
    <w:rsid w:val="004C7B0C"/>
    <w:rsid w:val="004D12BF"/>
    <w:rsid w:val="004D79A6"/>
    <w:rsid w:val="004E75AF"/>
    <w:rsid w:val="004F2809"/>
    <w:rsid w:val="0050034B"/>
    <w:rsid w:val="00501730"/>
    <w:rsid w:val="00502CFF"/>
    <w:rsid w:val="0050665D"/>
    <w:rsid w:val="00510060"/>
    <w:rsid w:val="0051353B"/>
    <w:rsid w:val="005166DB"/>
    <w:rsid w:val="00522D2E"/>
    <w:rsid w:val="00526FD8"/>
    <w:rsid w:val="00534170"/>
    <w:rsid w:val="00535502"/>
    <w:rsid w:val="005370E3"/>
    <w:rsid w:val="00541546"/>
    <w:rsid w:val="00545510"/>
    <w:rsid w:val="00546DE6"/>
    <w:rsid w:val="005508A2"/>
    <w:rsid w:val="00552B73"/>
    <w:rsid w:val="00552DE1"/>
    <w:rsid w:val="00552E94"/>
    <w:rsid w:val="00553515"/>
    <w:rsid w:val="00554D3E"/>
    <w:rsid w:val="00562E12"/>
    <w:rsid w:val="00563093"/>
    <w:rsid w:val="0056394D"/>
    <w:rsid w:val="005747E2"/>
    <w:rsid w:val="00574E3D"/>
    <w:rsid w:val="005751B6"/>
    <w:rsid w:val="00576E60"/>
    <w:rsid w:val="0058205B"/>
    <w:rsid w:val="005837CD"/>
    <w:rsid w:val="00584478"/>
    <w:rsid w:val="0059143C"/>
    <w:rsid w:val="005A10D4"/>
    <w:rsid w:val="005A20A6"/>
    <w:rsid w:val="005A4F34"/>
    <w:rsid w:val="005B70A4"/>
    <w:rsid w:val="005C07C4"/>
    <w:rsid w:val="005C1E2A"/>
    <w:rsid w:val="005C3188"/>
    <w:rsid w:val="005C4182"/>
    <w:rsid w:val="005D1150"/>
    <w:rsid w:val="005D1204"/>
    <w:rsid w:val="005D2C96"/>
    <w:rsid w:val="005D5F8A"/>
    <w:rsid w:val="005D6496"/>
    <w:rsid w:val="005E0384"/>
    <w:rsid w:val="005E27DE"/>
    <w:rsid w:val="005E41C6"/>
    <w:rsid w:val="005E4AF3"/>
    <w:rsid w:val="005E563E"/>
    <w:rsid w:val="005F31F2"/>
    <w:rsid w:val="00603874"/>
    <w:rsid w:val="00606270"/>
    <w:rsid w:val="00610A4C"/>
    <w:rsid w:val="00611844"/>
    <w:rsid w:val="0062282A"/>
    <w:rsid w:val="00623759"/>
    <w:rsid w:val="006361E1"/>
    <w:rsid w:val="00643458"/>
    <w:rsid w:val="00644897"/>
    <w:rsid w:val="006463AD"/>
    <w:rsid w:val="00652BEB"/>
    <w:rsid w:val="00655138"/>
    <w:rsid w:val="0066673B"/>
    <w:rsid w:val="00670A58"/>
    <w:rsid w:val="00682FAC"/>
    <w:rsid w:val="00683743"/>
    <w:rsid w:val="0068522B"/>
    <w:rsid w:val="00690A61"/>
    <w:rsid w:val="00692058"/>
    <w:rsid w:val="00697C33"/>
    <w:rsid w:val="006A6E8B"/>
    <w:rsid w:val="006B0D31"/>
    <w:rsid w:val="006B6613"/>
    <w:rsid w:val="006C2781"/>
    <w:rsid w:val="006C74B6"/>
    <w:rsid w:val="006D0D20"/>
    <w:rsid w:val="006D526E"/>
    <w:rsid w:val="006D6762"/>
    <w:rsid w:val="006E1095"/>
    <w:rsid w:val="006E172F"/>
    <w:rsid w:val="006E4233"/>
    <w:rsid w:val="006E6D1F"/>
    <w:rsid w:val="006F4012"/>
    <w:rsid w:val="006F5470"/>
    <w:rsid w:val="007032E6"/>
    <w:rsid w:val="00704C7F"/>
    <w:rsid w:val="0070549F"/>
    <w:rsid w:val="007068A0"/>
    <w:rsid w:val="007136A4"/>
    <w:rsid w:val="00713AE3"/>
    <w:rsid w:val="0071515D"/>
    <w:rsid w:val="00716797"/>
    <w:rsid w:val="00716D44"/>
    <w:rsid w:val="00717760"/>
    <w:rsid w:val="0072096F"/>
    <w:rsid w:val="007216E4"/>
    <w:rsid w:val="00725273"/>
    <w:rsid w:val="0073413A"/>
    <w:rsid w:val="00737462"/>
    <w:rsid w:val="00737921"/>
    <w:rsid w:val="00742679"/>
    <w:rsid w:val="0074738A"/>
    <w:rsid w:val="00747969"/>
    <w:rsid w:val="007537D7"/>
    <w:rsid w:val="00755282"/>
    <w:rsid w:val="007553B5"/>
    <w:rsid w:val="00760743"/>
    <w:rsid w:val="007620EB"/>
    <w:rsid w:val="00762E3F"/>
    <w:rsid w:val="007637DF"/>
    <w:rsid w:val="007658C6"/>
    <w:rsid w:val="007676E6"/>
    <w:rsid w:val="00767E3E"/>
    <w:rsid w:val="00771500"/>
    <w:rsid w:val="00772E82"/>
    <w:rsid w:val="00776FEE"/>
    <w:rsid w:val="00783D0C"/>
    <w:rsid w:val="0078450F"/>
    <w:rsid w:val="00791469"/>
    <w:rsid w:val="00795BA1"/>
    <w:rsid w:val="007A1E07"/>
    <w:rsid w:val="007B1335"/>
    <w:rsid w:val="007B7FEB"/>
    <w:rsid w:val="007C346A"/>
    <w:rsid w:val="007C449A"/>
    <w:rsid w:val="007C44BB"/>
    <w:rsid w:val="007D1122"/>
    <w:rsid w:val="007E4BDB"/>
    <w:rsid w:val="007E4EA4"/>
    <w:rsid w:val="007E710C"/>
    <w:rsid w:val="007F0CF6"/>
    <w:rsid w:val="007F61D8"/>
    <w:rsid w:val="008102DE"/>
    <w:rsid w:val="00822F9B"/>
    <w:rsid w:val="00823C19"/>
    <w:rsid w:val="00830E65"/>
    <w:rsid w:val="00835017"/>
    <w:rsid w:val="00840610"/>
    <w:rsid w:val="00842DAE"/>
    <w:rsid w:val="00844082"/>
    <w:rsid w:val="00846910"/>
    <w:rsid w:val="00846E15"/>
    <w:rsid w:val="008518F5"/>
    <w:rsid w:val="008519B1"/>
    <w:rsid w:val="00854759"/>
    <w:rsid w:val="008567DC"/>
    <w:rsid w:val="00866F1D"/>
    <w:rsid w:val="008676CE"/>
    <w:rsid w:val="0087528E"/>
    <w:rsid w:val="00886BD7"/>
    <w:rsid w:val="008904C9"/>
    <w:rsid w:val="00891454"/>
    <w:rsid w:val="0089264A"/>
    <w:rsid w:val="00894CE4"/>
    <w:rsid w:val="008A4280"/>
    <w:rsid w:val="008A5659"/>
    <w:rsid w:val="008B3793"/>
    <w:rsid w:val="008B3F88"/>
    <w:rsid w:val="008B4861"/>
    <w:rsid w:val="008B6EF9"/>
    <w:rsid w:val="008C1359"/>
    <w:rsid w:val="008C2F38"/>
    <w:rsid w:val="008D10C1"/>
    <w:rsid w:val="008D2047"/>
    <w:rsid w:val="008D4AE7"/>
    <w:rsid w:val="008E21F7"/>
    <w:rsid w:val="008E34BA"/>
    <w:rsid w:val="008E73F5"/>
    <w:rsid w:val="008E7A68"/>
    <w:rsid w:val="008F68B3"/>
    <w:rsid w:val="00910DA5"/>
    <w:rsid w:val="009227C8"/>
    <w:rsid w:val="009253E2"/>
    <w:rsid w:val="009310D7"/>
    <w:rsid w:val="00931407"/>
    <w:rsid w:val="00932522"/>
    <w:rsid w:val="009347DF"/>
    <w:rsid w:val="009436C5"/>
    <w:rsid w:val="0094586A"/>
    <w:rsid w:val="00950C3D"/>
    <w:rsid w:val="00950C82"/>
    <w:rsid w:val="0095194D"/>
    <w:rsid w:val="0095284D"/>
    <w:rsid w:val="00957F58"/>
    <w:rsid w:val="009673B2"/>
    <w:rsid w:val="0096763D"/>
    <w:rsid w:val="0097551F"/>
    <w:rsid w:val="00975BC8"/>
    <w:rsid w:val="00980418"/>
    <w:rsid w:val="00980B58"/>
    <w:rsid w:val="00987EF0"/>
    <w:rsid w:val="009916D3"/>
    <w:rsid w:val="00993213"/>
    <w:rsid w:val="00994879"/>
    <w:rsid w:val="009A0777"/>
    <w:rsid w:val="009A19F2"/>
    <w:rsid w:val="009A4A15"/>
    <w:rsid w:val="009A6369"/>
    <w:rsid w:val="009A6408"/>
    <w:rsid w:val="009A6976"/>
    <w:rsid w:val="009A6A19"/>
    <w:rsid w:val="009A6D5F"/>
    <w:rsid w:val="009A706D"/>
    <w:rsid w:val="009B0763"/>
    <w:rsid w:val="009B2A65"/>
    <w:rsid w:val="009B3F8C"/>
    <w:rsid w:val="009B71D3"/>
    <w:rsid w:val="009B7206"/>
    <w:rsid w:val="009C0246"/>
    <w:rsid w:val="009C3CBD"/>
    <w:rsid w:val="009C58B1"/>
    <w:rsid w:val="009C610E"/>
    <w:rsid w:val="009D5408"/>
    <w:rsid w:val="009D5588"/>
    <w:rsid w:val="009E326F"/>
    <w:rsid w:val="009F0576"/>
    <w:rsid w:val="009F3AD0"/>
    <w:rsid w:val="00A0172A"/>
    <w:rsid w:val="00A02B0F"/>
    <w:rsid w:val="00A04027"/>
    <w:rsid w:val="00A04D8B"/>
    <w:rsid w:val="00A05202"/>
    <w:rsid w:val="00A061E4"/>
    <w:rsid w:val="00A12FDA"/>
    <w:rsid w:val="00A142CE"/>
    <w:rsid w:val="00A17CAF"/>
    <w:rsid w:val="00A30015"/>
    <w:rsid w:val="00A365FF"/>
    <w:rsid w:val="00A41602"/>
    <w:rsid w:val="00A420B5"/>
    <w:rsid w:val="00A46CE3"/>
    <w:rsid w:val="00A46D62"/>
    <w:rsid w:val="00A53FCC"/>
    <w:rsid w:val="00A65417"/>
    <w:rsid w:val="00A66EA5"/>
    <w:rsid w:val="00A70539"/>
    <w:rsid w:val="00A71FFF"/>
    <w:rsid w:val="00A721BF"/>
    <w:rsid w:val="00A74E20"/>
    <w:rsid w:val="00A76D3D"/>
    <w:rsid w:val="00A77207"/>
    <w:rsid w:val="00A80D02"/>
    <w:rsid w:val="00A9047D"/>
    <w:rsid w:val="00A92C19"/>
    <w:rsid w:val="00AA0A58"/>
    <w:rsid w:val="00AB1B33"/>
    <w:rsid w:val="00AB6AD5"/>
    <w:rsid w:val="00AC0DF8"/>
    <w:rsid w:val="00AC25B2"/>
    <w:rsid w:val="00AC31DE"/>
    <w:rsid w:val="00AC5DCD"/>
    <w:rsid w:val="00AC6638"/>
    <w:rsid w:val="00AD327B"/>
    <w:rsid w:val="00AF00F3"/>
    <w:rsid w:val="00AF7ADF"/>
    <w:rsid w:val="00B00842"/>
    <w:rsid w:val="00B01328"/>
    <w:rsid w:val="00B037F1"/>
    <w:rsid w:val="00B0418E"/>
    <w:rsid w:val="00B06BEC"/>
    <w:rsid w:val="00B12931"/>
    <w:rsid w:val="00B15C8A"/>
    <w:rsid w:val="00B23034"/>
    <w:rsid w:val="00B235D5"/>
    <w:rsid w:val="00B23FBD"/>
    <w:rsid w:val="00B24188"/>
    <w:rsid w:val="00B313AE"/>
    <w:rsid w:val="00B35B5B"/>
    <w:rsid w:val="00B36BE4"/>
    <w:rsid w:val="00B4023E"/>
    <w:rsid w:val="00B45423"/>
    <w:rsid w:val="00B508F2"/>
    <w:rsid w:val="00B526FB"/>
    <w:rsid w:val="00B54FD6"/>
    <w:rsid w:val="00B550C8"/>
    <w:rsid w:val="00B61C9D"/>
    <w:rsid w:val="00B62FE8"/>
    <w:rsid w:val="00B80B00"/>
    <w:rsid w:val="00B8416E"/>
    <w:rsid w:val="00B844DF"/>
    <w:rsid w:val="00B84D15"/>
    <w:rsid w:val="00B84D54"/>
    <w:rsid w:val="00B85CEB"/>
    <w:rsid w:val="00B87171"/>
    <w:rsid w:val="00B90589"/>
    <w:rsid w:val="00B912D8"/>
    <w:rsid w:val="00B95C30"/>
    <w:rsid w:val="00BA3903"/>
    <w:rsid w:val="00BA56C1"/>
    <w:rsid w:val="00BA792E"/>
    <w:rsid w:val="00BB166C"/>
    <w:rsid w:val="00BB2B88"/>
    <w:rsid w:val="00BB3C5C"/>
    <w:rsid w:val="00BB5180"/>
    <w:rsid w:val="00BB5A00"/>
    <w:rsid w:val="00BB7FA1"/>
    <w:rsid w:val="00BC3EAD"/>
    <w:rsid w:val="00BD7362"/>
    <w:rsid w:val="00BE517E"/>
    <w:rsid w:val="00BE7CAC"/>
    <w:rsid w:val="00C05D16"/>
    <w:rsid w:val="00C126E0"/>
    <w:rsid w:val="00C17B8F"/>
    <w:rsid w:val="00C234F5"/>
    <w:rsid w:val="00C2760E"/>
    <w:rsid w:val="00C315C6"/>
    <w:rsid w:val="00C41E8A"/>
    <w:rsid w:val="00C423A0"/>
    <w:rsid w:val="00C46779"/>
    <w:rsid w:val="00C467B5"/>
    <w:rsid w:val="00C51FBF"/>
    <w:rsid w:val="00C54C96"/>
    <w:rsid w:val="00C57A43"/>
    <w:rsid w:val="00C64595"/>
    <w:rsid w:val="00C67A6B"/>
    <w:rsid w:val="00C70757"/>
    <w:rsid w:val="00C7422D"/>
    <w:rsid w:val="00C749D7"/>
    <w:rsid w:val="00C75C71"/>
    <w:rsid w:val="00C76EEB"/>
    <w:rsid w:val="00C82973"/>
    <w:rsid w:val="00C82D35"/>
    <w:rsid w:val="00C844E0"/>
    <w:rsid w:val="00CA3C25"/>
    <w:rsid w:val="00CA3DFC"/>
    <w:rsid w:val="00CA6128"/>
    <w:rsid w:val="00CB1C0E"/>
    <w:rsid w:val="00CB4AEC"/>
    <w:rsid w:val="00CC081E"/>
    <w:rsid w:val="00CC53B7"/>
    <w:rsid w:val="00CD2063"/>
    <w:rsid w:val="00CD2E04"/>
    <w:rsid w:val="00CD7BCA"/>
    <w:rsid w:val="00CE220B"/>
    <w:rsid w:val="00CE537D"/>
    <w:rsid w:val="00CE5764"/>
    <w:rsid w:val="00CE6C14"/>
    <w:rsid w:val="00CE6C33"/>
    <w:rsid w:val="00CE7B5A"/>
    <w:rsid w:val="00CF0EA1"/>
    <w:rsid w:val="00CF3783"/>
    <w:rsid w:val="00CF3FC3"/>
    <w:rsid w:val="00D01BA9"/>
    <w:rsid w:val="00D03092"/>
    <w:rsid w:val="00D114F2"/>
    <w:rsid w:val="00D21AFD"/>
    <w:rsid w:val="00D21DCA"/>
    <w:rsid w:val="00D22CB6"/>
    <w:rsid w:val="00D35351"/>
    <w:rsid w:val="00D3581D"/>
    <w:rsid w:val="00D43886"/>
    <w:rsid w:val="00D43F9C"/>
    <w:rsid w:val="00D46E2A"/>
    <w:rsid w:val="00D54436"/>
    <w:rsid w:val="00D57527"/>
    <w:rsid w:val="00D63103"/>
    <w:rsid w:val="00D66F4B"/>
    <w:rsid w:val="00D67478"/>
    <w:rsid w:val="00D6759F"/>
    <w:rsid w:val="00D733A8"/>
    <w:rsid w:val="00D7775A"/>
    <w:rsid w:val="00D82957"/>
    <w:rsid w:val="00D87120"/>
    <w:rsid w:val="00D93348"/>
    <w:rsid w:val="00D96FAC"/>
    <w:rsid w:val="00DA226F"/>
    <w:rsid w:val="00DA36E9"/>
    <w:rsid w:val="00DB16E8"/>
    <w:rsid w:val="00DB19E0"/>
    <w:rsid w:val="00DB25D5"/>
    <w:rsid w:val="00DB30AE"/>
    <w:rsid w:val="00DB4A3B"/>
    <w:rsid w:val="00DB5ED2"/>
    <w:rsid w:val="00DC02A6"/>
    <w:rsid w:val="00DC0691"/>
    <w:rsid w:val="00DC27A2"/>
    <w:rsid w:val="00DC30F4"/>
    <w:rsid w:val="00DC3174"/>
    <w:rsid w:val="00DD1012"/>
    <w:rsid w:val="00DD6C21"/>
    <w:rsid w:val="00DE1D67"/>
    <w:rsid w:val="00DE46D3"/>
    <w:rsid w:val="00DE6FDF"/>
    <w:rsid w:val="00DF04A0"/>
    <w:rsid w:val="00DF67B5"/>
    <w:rsid w:val="00DF6FD6"/>
    <w:rsid w:val="00E014D3"/>
    <w:rsid w:val="00E01E47"/>
    <w:rsid w:val="00E02477"/>
    <w:rsid w:val="00E1147F"/>
    <w:rsid w:val="00E168BA"/>
    <w:rsid w:val="00E168E6"/>
    <w:rsid w:val="00E205D2"/>
    <w:rsid w:val="00E21836"/>
    <w:rsid w:val="00E23BD2"/>
    <w:rsid w:val="00E25B17"/>
    <w:rsid w:val="00E31479"/>
    <w:rsid w:val="00E3299B"/>
    <w:rsid w:val="00E337B8"/>
    <w:rsid w:val="00E36B99"/>
    <w:rsid w:val="00E3750F"/>
    <w:rsid w:val="00E414BE"/>
    <w:rsid w:val="00E44820"/>
    <w:rsid w:val="00E4771F"/>
    <w:rsid w:val="00E50DAA"/>
    <w:rsid w:val="00E51E93"/>
    <w:rsid w:val="00E5559F"/>
    <w:rsid w:val="00E5747D"/>
    <w:rsid w:val="00E61468"/>
    <w:rsid w:val="00E6248F"/>
    <w:rsid w:val="00E6314E"/>
    <w:rsid w:val="00E64F67"/>
    <w:rsid w:val="00E6580E"/>
    <w:rsid w:val="00E66EB6"/>
    <w:rsid w:val="00E674B9"/>
    <w:rsid w:val="00E72468"/>
    <w:rsid w:val="00E73D54"/>
    <w:rsid w:val="00E75DAC"/>
    <w:rsid w:val="00E91323"/>
    <w:rsid w:val="00EA0817"/>
    <w:rsid w:val="00EA0F08"/>
    <w:rsid w:val="00EA1F2C"/>
    <w:rsid w:val="00EA497A"/>
    <w:rsid w:val="00EB06B5"/>
    <w:rsid w:val="00EB4C2A"/>
    <w:rsid w:val="00EB61C7"/>
    <w:rsid w:val="00ED1AE5"/>
    <w:rsid w:val="00EE4E41"/>
    <w:rsid w:val="00EE7889"/>
    <w:rsid w:val="00EF077A"/>
    <w:rsid w:val="00EF6342"/>
    <w:rsid w:val="00F02570"/>
    <w:rsid w:val="00F02C2A"/>
    <w:rsid w:val="00F042B1"/>
    <w:rsid w:val="00F10666"/>
    <w:rsid w:val="00F1658B"/>
    <w:rsid w:val="00F20FF5"/>
    <w:rsid w:val="00F222FF"/>
    <w:rsid w:val="00F23579"/>
    <w:rsid w:val="00F237A3"/>
    <w:rsid w:val="00F23870"/>
    <w:rsid w:val="00F24E49"/>
    <w:rsid w:val="00F27CE3"/>
    <w:rsid w:val="00F27EE3"/>
    <w:rsid w:val="00F315C2"/>
    <w:rsid w:val="00F36797"/>
    <w:rsid w:val="00F37CA3"/>
    <w:rsid w:val="00F41B58"/>
    <w:rsid w:val="00F4694A"/>
    <w:rsid w:val="00F50654"/>
    <w:rsid w:val="00F516E0"/>
    <w:rsid w:val="00F55112"/>
    <w:rsid w:val="00F5778B"/>
    <w:rsid w:val="00F60E32"/>
    <w:rsid w:val="00F63D8E"/>
    <w:rsid w:val="00F63E3A"/>
    <w:rsid w:val="00F63F6B"/>
    <w:rsid w:val="00F65669"/>
    <w:rsid w:val="00F70BF2"/>
    <w:rsid w:val="00F75453"/>
    <w:rsid w:val="00F830BA"/>
    <w:rsid w:val="00F84150"/>
    <w:rsid w:val="00F87B12"/>
    <w:rsid w:val="00F9261F"/>
    <w:rsid w:val="00F94812"/>
    <w:rsid w:val="00F97438"/>
    <w:rsid w:val="00FA3FDE"/>
    <w:rsid w:val="00FA6F74"/>
    <w:rsid w:val="00FE1246"/>
    <w:rsid w:val="00FE3C45"/>
    <w:rsid w:val="00FE7AEE"/>
    <w:rsid w:val="00FF27C6"/>
    <w:rsid w:val="00FF4052"/>
    <w:rsid w:val="00FF5229"/>
    <w:rsid w:val="00FF5B8E"/>
    <w:rsid w:val="013B287B"/>
    <w:rsid w:val="02BA7BF9"/>
    <w:rsid w:val="03EC7AE4"/>
    <w:rsid w:val="03ED2C3F"/>
    <w:rsid w:val="056C2E2F"/>
    <w:rsid w:val="084538D5"/>
    <w:rsid w:val="088C7A2A"/>
    <w:rsid w:val="090B6FFA"/>
    <w:rsid w:val="09F44926"/>
    <w:rsid w:val="0A8478FB"/>
    <w:rsid w:val="0B6E3B5E"/>
    <w:rsid w:val="0B91022F"/>
    <w:rsid w:val="0C957B3C"/>
    <w:rsid w:val="0D88101A"/>
    <w:rsid w:val="0DE40061"/>
    <w:rsid w:val="0E3E172D"/>
    <w:rsid w:val="0E566838"/>
    <w:rsid w:val="10BC5EFD"/>
    <w:rsid w:val="11F9060A"/>
    <w:rsid w:val="138246B6"/>
    <w:rsid w:val="13AB1F2B"/>
    <w:rsid w:val="15F45764"/>
    <w:rsid w:val="161A23CB"/>
    <w:rsid w:val="17A91571"/>
    <w:rsid w:val="19064D39"/>
    <w:rsid w:val="1AEC6409"/>
    <w:rsid w:val="1C2B3376"/>
    <w:rsid w:val="1D327A80"/>
    <w:rsid w:val="1DD11B22"/>
    <w:rsid w:val="1EAD04B9"/>
    <w:rsid w:val="22E5405C"/>
    <w:rsid w:val="242F4B0C"/>
    <w:rsid w:val="24AC34CC"/>
    <w:rsid w:val="26AB0493"/>
    <w:rsid w:val="2A5A4912"/>
    <w:rsid w:val="2B6371CD"/>
    <w:rsid w:val="2BA1656F"/>
    <w:rsid w:val="2C513807"/>
    <w:rsid w:val="2D587216"/>
    <w:rsid w:val="2DF101D3"/>
    <w:rsid w:val="2E962DE1"/>
    <w:rsid w:val="30A25E9E"/>
    <w:rsid w:val="30FE387C"/>
    <w:rsid w:val="315B03BF"/>
    <w:rsid w:val="31AF6356"/>
    <w:rsid w:val="33BA13D4"/>
    <w:rsid w:val="34055FCF"/>
    <w:rsid w:val="34E53E7F"/>
    <w:rsid w:val="37F00E10"/>
    <w:rsid w:val="3930322F"/>
    <w:rsid w:val="3A28154C"/>
    <w:rsid w:val="3CF75660"/>
    <w:rsid w:val="3EC12715"/>
    <w:rsid w:val="40111F06"/>
    <w:rsid w:val="41FC0532"/>
    <w:rsid w:val="43255C85"/>
    <w:rsid w:val="43554F68"/>
    <w:rsid w:val="445B3E9C"/>
    <w:rsid w:val="45257619"/>
    <w:rsid w:val="473535CE"/>
    <w:rsid w:val="48356AA5"/>
    <w:rsid w:val="483D5F2B"/>
    <w:rsid w:val="48940894"/>
    <w:rsid w:val="491D5EAC"/>
    <w:rsid w:val="49660215"/>
    <w:rsid w:val="49D01489"/>
    <w:rsid w:val="49DC3C61"/>
    <w:rsid w:val="4A503052"/>
    <w:rsid w:val="4AD06B02"/>
    <w:rsid w:val="4B5E3A88"/>
    <w:rsid w:val="4CDD59A6"/>
    <w:rsid w:val="4D570119"/>
    <w:rsid w:val="4E2D5EAD"/>
    <w:rsid w:val="4F9D1C26"/>
    <w:rsid w:val="4FA249E9"/>
    <w:rsid w:val="4FF6339A"/>
    <w:rsid w:val="504B19D9"/>
    <w:rsid w:val="515D4127"/>
    <w:rsid w:val="51E272A6"/>
    <w:rsid w:val="52201D91"/>
    <w:rsid w:val="527D1700"/>
    <w:rsid w:val="536D7D87"/>
    <w:rsid w:val="540D11CA"/>
    <w:rsid w:val="54C27ED8"/>
    <w:rsid w:val="55736AB2"/>
    <w:rsid w:val="570409A4"/>
    <w:rsid w:val="577C1266"/>
    <w:rsid w:val="586A229F"/>
    <w:rsid w:val="596C3A47"/>
    <w:rsid w:val="599139B4"/>
    <w:rsid w:val="5A542F13"/>
    <w:rsid w:val="5AAD2A68"/>
    <w:rsid w:val="5B1F0BC8"/>
    <w:rsid w:val="5C9551A6"/>
    <w:rsid w:val="5CBF25C4"/>
    <w:rsid w:val="5D396787"/>
    <w:rsid w:val="5FED4758"/>
    <w:rsid w:val="600A4BC0"/>
    <w:rsid w:val="60946DA9"/>
    <w:rsid w:val="6190412C"/>
    <w:rsid w:val="64297150"/>
    <w:rsid w:val="64312724"/>
    <w:rsid w:val="658C1F8E"/>
    <w:rsid w:val="65A9288E"/>
    <w:rsid w:val="65F758A7"/>
    <w:rsid w:val="66874F0D"/>
    <w:rsid w:val="6771556A"/>
    <w:rsid w:val="6A193340"/>
    <w:rsid w:val="6ACC2465"/>
    <w:rsid w:val="6AD036A4"/>
    <w:rsid w:val="6C443D25"/>
    <w:rsid w:val="6C6B31D7"/>
    <w:rsid w:val="6CCF1EF4"/>
    <w:rsid w:val="6CE4462F"/>
    <w:rsid w:val="6D84757A"/>
    <w:rsid w:val="6F2E2504"/>
    <w:rsid w:val="701A5709"/>
    <w:rsid w:val="707C3DA2"/>
    <w:rsid w:val="70DF625D"/>
    <w:rsid w:val="752118E8"/>
    <w:rsid w:val="75565C4D"/>
    <w:rsid w:val="75D258BD"/>
    <w:rsid w:val="75F95209"/>
    <w:rsid w:val="76206965"/>
    <w:rsid w:val="772B015B"/>
    <w:rsid w:val="773C3B48"/>
    <w:rsid w:val="78F03720"/>
    <w:rsid w:val="7DC10369"/>
    <w:rsid w:val="7E263305"/>
    <w:rsid w:val="7F657E31"/>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99" w:semiHidden="0" w:name="Title"/>
    <w:lsdException w:uiPriority="99" w:name="Closing"/>
    <w:lsdException w:uiPriority="99" w:name="Signature"/>
    <w:lsdException w:unhideWhenUsed="0" w:uiPriority="99" w:name="Default Paragraph Font"/>
    <w:lsdException w:unhideWhenUsed="0" w:uiPriority="99"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99" w:semiHidden="0" w:name="Strong"/>
    <w:lsdException w:qFormat="1" w:unhideWhenUsed="0" w:uiPriority="99" w:semiHidden="0" w:name="Emphasis"/>
    <w:lsdException w:uiPriority="99" w:name="Document Map"/>
    <w:lsdException w:qFormat="1" w:unhideWhenUsed="0" w:uiPriority="99" w:semiHidden="0"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nhideWhenUsed="0" w:uiPriority="0" w:semiHidden="0" w:name="Table Simple 1" w:locked="1"/>
    <w:lsdException w:unhideWhenUsed="0" w:uiPriority="0" w:semiHidden="0" w:name="Table Simple 2" w:locked="1"/>
    <w:lsdException w:unhideWhenUsed="0" w:uiPriority="0" w:semiHidden="0" w:name="Table Simple 3" w:locked="1"/>
    <w:lsdException w:unhideWhenUsed="0" w:uiPriority="0" w:semiHidden="0" w:name="Table Classic 1" w:locked="1"/>
    <w:lsdException w:unhideWhenUsed="0" w:uiPriority="0" w:semiHidden="0" w:name="Table Classic 2" w:locked="1"/>
    <w:lsdException w:unhideWhenUsed="0" w:uiPriority="0" w:semiHidden="0" w:name="Table Classic 3" w:locked="1"/>
    <w:lsdException w:unhideWhenUsed="0" w:uiPriority="0" w:semiHidden="0" w:name="Table Classic 4" w:locked="1"/>
    <w:lsdException w:unhideWhenUsed="0" w:uiPriority="0" w:semiHidden="0" w:name="Table Colorful 1" w:locked="1"/>
    <w:lsdException w:unhideWhenUsed="0" w:uiPriority="0" w:semiHidden="0" w:name="Table Colorful 2" w:locked="1"/>
    <w:lsdException w:unhideWhenUsed="0" w:uiPriority="0" w:semiHidden="0" w:name="Table Colorful 3" w:locked="1"/>
    <w:lsdException w:unhideWhenUsed="0" w:uiPriority="0" w:semiHidden="0" w:name="Table Columns 1" w:locked="1"/>
    <w:lsdException w:unhideWhenUsed="0" w:uiPriority="0" w:semiHidden="0" w:name="Table Columns 2" w:locked="1"/>
    <w:lsdException w:unhideWhenUsed="0" w:uiPriority="0" w:semiHidden="0" w:name="Table Columns 3" w:locked="1"/>
    <w:lsdException w:unhideWhenUsed="0" w:uiPriority="0" w:semiHidden="0" w:name="Table Columns 4" w:locked="1"/>
    <w:lsdException w:unhideWhenUsed="0" w:uiPriority="0" w:semiHidden="0" w:name="Table Columns 5" w:locked="1"/>
    <w:lsdException w:unhideWhenUsed="0" w:uiPriority="0" w:semiHidden="0" w:name="Table Grid 1" w:locked="1"/>
    <w:lsdException w:unhideWhenUsed="0" w:uiPriority="0" w:semiHidden="0" w:name="Table Grid 2" w:locked="1"/>
    <w:lsdException w:unhideWhenUsed="0" w:uiPriority="0" w:semiHidden="0" w:name="Table Grid 3" w:locked="1"/>
    <w:lsdException w:unhideWhenUsed="0" w:uiPriority="0" w:semiHidden="0" w:name="Table Grid 4" w:locked="1"/>
    <w:lsdException w:unhideWhenUsed="0" w:uiPriority="0" w:semiHidden="0" w:name="Table Grid 5" w:locked="1"/>
    <w:lsdException w:unhideWhenUsed="0" w:uiPriority="0" w:semiHidden="0" w:name="Table Grid 6" w:locked="1"/>
    <w:lsdException w:unhideWhenUsed="0" w:uiPriority="0" w:semiHidden="0" w:name="Table Grid 7" w:locked="1"/>
    <w:lsdException w:unhideWhenUsed="0" w:uiPriority="0" w:semiHidden="0" w:name="Table Grid 8" w:locked="1"/>
    <w:lsdException w:unhideWhenUsed="0" w:uiPriority="0" w:semiHidden="0" w:name="Table List 1" w:locked="1"/>
    <w:lsdException w:unhideWhenUsed="0" w:uiPriority="0" w:semiHidden="0" w:name="Table List 2" w:locked="1"/>
    <w:lsdException w:unhideWhenUsed="0" w:uiPriority="0" w:semiHidden="0" w:name="Table List 3" w:locked="1"/>
    <w:lsdException w:unhideWhenUsed="0" w:uiPriority="0" w:semiHidden="0" w:name="Table List 4" w:locked="1"/>
    <w:lsdException w:unhideWhenUsed="0" w:uiPriority="0" w:semiHidden="0" w:name="Table List 5" w:locked="1"/>
    <w:lsdException w:unhideWhenUsed="0" w:uiPriority="0" w:semiHidden="0" w:name="Table List 6" w:locked="1"/>
    <w:lsdException w:unhideWhenUsed="0" w:uiPriority="0" w:semiHidden="0" w:name="Table List 7" w:locked="1"/>
    <w:lsdException w:unhideWhenUsed="0" w:uiPriority="0" w:semiHidden="0" w:name="Table List 8" w:locked="1"/>
    <w:lsdException w:unhideWhenUsed="0" w:uiPriority="0" w:semiHidden="0" w:name="Table 3D effects 1" w:locked="1"/>
    <w:lsdException w:unhideWhenUsed="0" w:uiPriority="0" w:semiHidden="0" w:name="Table 3D effects 2" w:locked="1"/>
    <w:lsdException w:unhideWhenUsed="0" w:uiPriority="0" w:semiHidden="0" w:name="Table 3D effects 3" w:locked="1"/>
    <w:lsdException w:unhideWhenUsed="0" w:uiPriority="0" w:semiHidden="0" w:name="Table Contemporary" w:locked="1"/>
    <w:lsdException w:unhideWhenUsed="0" w:uiPriority="0" w:semiHidden="0" w:name="Table Elegant" w:locked="1"/>
    <w:lsdException w:unhideWhenUsed="0" w:uiPriority="0" w:semiHidden="0" w:name="Table Professional" w:locked="1"/>
    <w:lsdException w:unhideWhenUsed="0" w:uiPriority="0" w:semiHidden="0" w:name="Table Subtle 1" w:locked="1"/>
    <w:lsdException w:unhideWhenUsed="0" w:uiPriority="0" w:semiHidden="0" w:name="Table Subtle 2" w:locked="1"/>
    <w:lsdException w:unhideWhenUsed="0" w:uiPriority="0" w:semiHidden="0" w:name="Table Web 1" w:locked="1"/>
    <w:lsdException w:unhideWhenUsed="0" w:uiPriority="0" w:semiHidden="0" w:name="Table Web 2" w:locked="1"/>
    <w:lsdException w:unhideWhenUsed="0" w:uiPriority="0" w:semiHidden="0" w:name="Table Web 3" w:locked="1"/>
    <w:lsdException w:qFormat="1" w:unhideWhenUsed="0" w:uiPriority="99" w:semiHidden="0" w:name="Balloon Text"/>
    <w:lsdException w:qFormat="1" w:unhideWhenUsed="0" w:uiPriority="99" w:semiHidden="0" w:name="Table Grid"/>
    <w:lsdException w:unhideWhenUsed="0" w:uiPriority="0" w:semiHidden="0"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character" w:default="1" w:styleId="13">
    <w:name w:val="Default Paragraph Font"/>
    <w:semiHidden/>
    <w:uiPriority w:val="99"/>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8"/>
    <w:uiPriority w:val="99"/>
    <w:pPr>
      <w:spacing w:after="120"/>
    </w:pPr>
  </w:style>
  <w:style w:type="paragraph" w:styleId="3">
    <w:name w:val="Body Text Indent"/>
    <w:basedOn w:val="1"/>
    <w:link w:val="19"/>
    <w:qFormat/>
    <w:uiPriority w:val="99"/>
    <w:pPr>
      <w:spacing w:line="580" w:lineRule="exact"/>
      <w:ind w:firstLine="630"/>
    </w:pPr>
    <w:rPr>
      <w:rFonts w:eastAsia="仿宋_GB2312"/>
      <w:bCs/>
      <w:sz w:val="32"/>
      <w:szCs w:val="24"/>
    </w:rPr>
  </w:style>
  <w:style w:type="paragraph" w:styleId="4">
    <w:name w:val="Plain Text"/>
    <w:basedOn w:val="1"/>
    <w:link w:val="20"/>
    <w:qFormat/>
    <w:uiPriority w:val="99"/>
    <w:rPr>
      <w:rFonts w:ascii="宋体" w:hAnsi="Courier New"/>
    </w:rPr>
  </w:style>
  <w:style w:type="paragraph" w:styleId="5">
    <w:name w:val="Date"/>
    <w:basedOn w:val="1"/>
    <w:next w:val="1"/>
    <w:link w:val="21"/>
    <w:qFormat/>
    <w:uiPriority w:val="99"/>
    <w:rPr>
      <w:rFonts w:eastAsia="仿宋_GB2312"/>
      <w:spacing w:val="28"/>
      <w:sz w:val="48"/>
    </w:rPr>
  </w:style>
  <w:style w:type="paragraph" w:styleId="6">
    <w:name w:val="Balloon Text"/>
    <w:basedOn w:val="1"/>
    <w:link w:val="22"/>
    <w:qFormat/>
    <w:uiPriority w:val="99"/>
    <w:rPr>
      <w:sz w:val="18"/>
      <w:szCs w:val="18"/>
    </w:rPr>
  </w:style>
  <w:style w:type="paragraph" w:styleId="7">
    <w:name w:val="footer"/>
    <w:basedOn w:val="1"/>
    <w:link w:val="23"/>
    <w:qFormat/>
    <w:uiPriority w:val="99"/>
    <w:pPr>
      <w:tabs>
        <w:tab w:val="center" w:pos="4153"/>
        <w:tab w:val="right" w:pos="8306"/>
      </w:tabs>
      <w:snapToGrid w:val="0"/>
      <w:jc w:val="left"/>
    </w:pPr>
    <w:rPr>
      <w:sz w:val="18"/>
    </w:rPr>
  </w:style>
  <w:style w:type="paragraph" w:styleId="8">
    <w:name w:val="header"/>
    <w:basedOn w:val="1"/>
    <w:link w:val="24"/>
    <w:qFormat/>
    <w:uiPriority w:val="99"/>
    <w:pPr>
      <w:pBdr>
        <w:bottom w:val="single" w:color="auto" w:sz="6" w:space="1"/>
      </w:pBdr>
      <w:tabs>
        <w:tab w:val="center" w:pos="4153"/>
        <w:tab w:val="right" w:pos="8306"/>
      </w:tabs>
      <w:snapToGrid w:val="0"/>
      <w:jc w:val="center"/>
    </w:pPr>
    <w:rPr>
      <w:sz w:val="18"/>
      <w:szCs w:val="18"/>
    </w:rPr>
  </w:style>
  <w:style w:type="paragraph" w:styleId="9">
    <w:name w:val="Normal (Web)"/>
    <w:basedOn w:val="1"/>
    <w:uiPriority w:val="99"/>
    <w:pPr>
      <w:widowControl/>
      <w:spacing w:before="100" w:beforeAutospacing="1" w:after="100" w:afterAutospacing="1"/>
      <w:jc w:val="left"/>
    </w:pPr>
    <w:rPr>
      <w:rFonts w:ascii="宋体" w:hAnsi="宋体" w:cs="微软大标宋"/>
      <w:kern w:val="0"/>
      <w:sz w:val="24"/>
      <w:szCs w:val="24"/>
    </w:rPr>
  </w:style>
  <w:style w:type="paragraph" w:styleId="10">
    <w:name w:val="Title"/>
    <w:basedOn w:val="1"/>
    <w:next w:val="1"/>
    <w:link w:val="25"/>
    <w:qFormat/>
    <w:uiPriority w:val="99"/>
    <w:pPr>
      <w:widowControl/>
      <w:adjustRightInd w:val="0"/>
      <w:snapToGrid w:val="0"/>
      <w:spacing w:before="240" w:after="60"/>
      <w:jc w:val="center"/>
      <w:outlineLvl w:val="0"/>
    </w:pPr>
    <w:rPr>
      <w:rFonts w:ascii="Cambria" w:hAnsi="Cambria"/>
      <w:b/>
      <w:bCs/>
      <w:kern w:val="0"/>
      <w:sz w:val="32"/>
      <w:szCs w:val="32"/>
    </w:rPr>
  </w:style>
  <w:style w:type="table" w:styleId="12">
    <w:name w:val="Table Grid"/>
    <w:basedOn w:val="11"/>
    <w:qFormat/>
    <w:uiPriority w:val="99"/>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4">
    <w:name w:val="Strong"/>
    <w:basedOn w:val="13"/>
    <w:qFormat/>
    <w:uiPriority w:val="99"/>
    <w:rPr>
      <w:rFonts w:cs="Times New Roman"/>
      <w:b/>
      <w:bCs/>
    </w:rPr>
  </w:style>
  <w:style w:type="character" w:styleId="15">
    <w:name w:val="page number"/>
    <w:basedOn w:val="13"/>
    <w:qFormat/>
    <w:uiPriority w:val="99"/>
    <w:rPr>
      <w:rFonts w:cs="Times New Roman"/>
    </w:rPr>
  </w:style>
  <w:style w:type="character" w:styleId="16">
    <w:name w:val="Emphasis"/>
    <w:basedOn w:val="13"/>
    <w:qFormat/>
    <w:uiPriority w:val="99"/>
    <w:rPr>
      <w:rFonts w:cs="Times New Roman"/>
      <w:color w:val="CC0000"/>
    </w:rPr>
  </w:style>
  <w:style w:type="character" w:styleId="17">
    <w:name w:val="Hyperlink"/>
    <w:basedOn w:val="13"/>
    <w:qFormat/>
    <w:uiPriority w:val="99"/>
    <w:rPr>
      <w:rFonts w:cs="Times New Roman"/>
      <w:color w:val="205F97"/>
      <w:u w:val="none"/>
    </w:rPr>
  </w:style>
  <w:style w:type="character" w:customStyle="1" w:styleId="18">
    <w:name w:val="Body Text Char"/>
    <w:basedOn w:val="13"/>
    <w:link w:val="2"/>
    <w:semiHidden/>
    <w:qFormat/>
    <w:uiPriority w:val="99"/>
    <w:rPr>
      <w:szCs w:val="20"/>
    </w:rPr>
  </w:style>
  <w:style w:type="character" w:customStyle="1" w:styleId="19">
    <w:name w:val="Body Text Indent Char"/>
    <w:basedOn w:val="13"/>
    <w:link w:val="3"/>
    <w:semiHidden/>
    <w:qFormat/>
    <w:uiPriority w:val="99"/>
    <w:rPr>
      <w:szCs w:val="20"/>
    </w:rPr>
  </w:style>
  <w:style w:type="character" w:customStyle="1" w:styleId="20">
    <w:name w:val="Plain Text Char"/>
    <w:basedOn w:val="13"/>
    <w:link w:val="4"/>
    <w:locked/>
    <w:uiPriority w:val="99"/>
    <w:rPr>
      <w:rFonts w:ascii="宋体" w:hAnsi="Courier New"/>
      <w:kern w:val="2"/>
      <w:sz w:val="21"/>
    </w:rPr>
  </w:style>
  <w:style w:type="character" w:customStyle="1" w:styleId="21">
    <w:name w:val="Date Char"/>
    <w:basedOn w:val="13"/>
    <w:link w:val="5"/>
    <w:semiHidden/>
    <w:qFormat/>
    <w:uiPriority w:val="99"/>
    <w:rPr>
      <w:szCs w:val="20"/>
    </w:rPr>
  </w:style>
  <w:style w:type="character" w:customStyle="1" w:styleId="22">
    <w:name w:val="Balloon Text Char"/>
    <w:basedOn w:val="13"/>
    <w:link w:val="6"/>
    <w:locked/>
    <w:uiPriority w:val="99"/>
    <w:rPr>
      <w:kern w:val="2"/>
      <w:sz w:val="18"/>
    </w:rPr>
  </w:style>
  <w:style w:type="character" w:customStyle="1" w:styleId="23">
    <w:name w:val="Footer Char"/>
    <w:basedOn w:val="13"/>
    <w:link w:val="7"/>
    <w:qFormat/>
    <w:locked/>
    <w:uiPriority w:val="99"/>
    <w:rPr>
      <w:kern w:val="2"/>
      <w:sz w:val="18"/>
    </w:rPr>
  </w:style>
  <w:style w:type="character" w:customStyle="1" w:styleId="24">
    <w:name w:val="Header Char"/>
    <w:basedOn w:val="13"/>
    <w:link w:val="8"/>
    <w:semiHidden/>
    <w:qFormat/>
    <w:uiPriority w:val="99"/>
    <w:rPr>
      <w:sz w:val="18"/>
      <w:szCs w:val="18"/>
    </w:rPr>
  </w:style>
  <w:style w:type="character" w:customStyle="1" w:styleId="25">
    <w:name w:val="Title Char"/>
    <w:basedOn w:val="13"/>
    <w:link w:val="10"/>
    <w:qFormat/>
    <w:locked/>
    <w:uiPriority w:val="99"/>
    <w:rPr>
      <w:rFonts w:ascii="Cambria" w:hAnsi="Cambria"/>
      <w:b/>
      <w:sz w:val="32"/>
    </w:rPr>
  </w:style>
  <w:style w:type="character" w:customStyle="1" w:styleId="26">
    <w:name w:val="zhengwen1"/>
    <w:qFormat/>
    <w:uiPriority w:val="99"/>
    <w:rPr>
      <w:sz w:val="18"/>
    </w:rPr>
  </w:style>
  <w:style w:type="character" w:customStyle="1" w:styleId="27">
    <w:name w:val="bt"/>
    <w:basedOn w:val="13"/>
    <w:qFormat/>
    <w:uiPriority w:val="99"/>
    <w:rPr>
      <w:rFonts w:cs="Times New Roman"/>
    </w:rPr>
  </w:style>
  <w:style w:type="paragraph" w:customStyle="1" w:styleId="28">
    <w:name w:val="_Style 4"/>
    <w:basedOn w:val="1"/>
    <w:qFormat/>
    <w:uiPriority w:val="99"/>
  </w:style>
  <w:style w:type="paragraph" w:customStyle="1" w:styleId="29">
    <w:name w:val="p0"/>
    <w:basedOn w:val="1"/>
    <w:qFormat/>
    <w:uiPriority w:val="99"/>
    <w:pPr>
      <w:widowControl/>
    </w:pPr>
    <w:rPr>
      <w:kern w:val="0"/>
      <w:szCs w:val="21"/>
    </w:rPr>
  </w:style>
  <w:style w:type="paragraph" w:customStyle="1" w:styleId="30">
    <w:name w:val="Char"/>
    <w:basedOn w:val="1"/>
    <w:qFormat/>
    <w:uiPriority w:val="99"/>
    <w:rPr>
      <w:rFonts w:ascii="Tahoma" w:hAnsi="Tahoma"/>
      <w:sz w:val="24"/>
    </w:rPr>
  </w:style>
  <w:style w:type="paragraph" w:customStyle="1" w:styleId="31">
    <w:name w:val="Char3"/>
    <w:basedOn w:val="1"/>
    <w:qFormat/>
    <w:uiPriority w:val="99"/>
    <w:rPr>
      <w:rFonts w:ascii="Tahoma" w:hAnsi="Tahoma"/>
      <w:sz w:val="24"/>
    </w:rPr>
  </w:style>
  <w:style w:type="paragraph" w:customStyle="1" w:styleId="32">
    <w:name w:val="Char Char Char Char Char Char Char"/>
    <w:basedOn w:val="1"/>
    <w:qFormat/>
    <w:uiPriority w:val="99"/>
    <w:pPr>
      <w:snapToGrid w:val="0"/>
      <w:spacing w:line="360" w:lineRule="auto"/>
      <w:ind w:firstLine="200" w:firstLineChars="200"/>
    </w:pPr>
    <w:rPr>
      <w:rFonts w:eastAsia="仿宋_GB2312"/>
      <w:sz w:val="24"/>
      <w:szCs w:val="24"/>
    </w:rPr>
  </w:style>
  <w:style w:type="paragraph" w:customStyle="1" w:styleId="33">
    <w:name w:val="Char Char2"/>
    <w:basedOn w:val="1"/>
    <w:qFormat/>
    <w:uiPriority w:val="99"/>
    <w:rPr>
      <w:rFonts w:eastAsia="仿宋_GB2312"/>
      <w:sz w:val="32"/>
      <w:szCs w:val="32"/>
    </w:rPr>
  </w:style>
  <w:style w:type="paragraph" w:customStyle="1" w:styleId="34">
    <w:name w:val="Char1"/>
    <w:basedOn w:val="1"/>
    <w:qFormat/>
    <w:uiPriority w:val="99"/>
    <w:rPr>
      <w:rFonts w:eastAsia="仿宋_GB2312"/>
      <w:sz w:val="32"/>
      <w:szCs w:val="32"/>
    </w:rPr>
  </w:style>
  <w:style w:type="paragraph" w:styleId="35">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jpeg"/><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Company>MC SYSTEM</Company>
  <Pages>20</Pages>
  <Words>1561</Words>
  <Characters>8902</Characters>
  <Lines>0</Lines>
  <Paragraphs>0</Paragraphs>
  <TotalTime>2</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2021-05-26T12:53:00Z</dcterms:created>
  <dc:creator>MC SYSTEM</dc:creator>
  <cp:lastModifiedBy>范斌</cp:lastModifiedBy>
  <cp:lastPrinted>2021-05-26T12:51:00Z</cp:lastPrinted>
  <dcterms:modified xsi:type="dcterms:W3CDTF">2021-06-04T02:30:03Z</dcterms:modified>
  <dc:title>全市教育工作情况汇报</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96161B50C3514C69BE2DA0FC1EA201C2</vt:lpwstr>
  </property>
</Properties>
</file>